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5728d1_6k.htm"/>
      <w:bookmarkStart w:id="1" w:name="kstm2625728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995"/>
        <w:gridCol w:w="60"/>
        <w:gridCol w:w="4505"/>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center"/>
              <w:rPr/>
            </w:pPr>
            <w:hyperlink w:anchor="tm262572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ind w:left="0" w:right="0" w:hanging="0"/>
              <w:jc w:val="left"/>
              <w:rPr/>
            </w:pPr>
            <w:hyperlink w:anchor="tm2625728d1_ex99-1.htm">
              <w:r>
                <w:rPr>
                  <w:rStyle w:val="InternetLink"/>
                  <w:rFonts w:ascii="Times New Roman;Times;Serif" w:hAnsi="Times New Roman;Times;Serif"/>
                  <w:b w:val="false"/>
                  <w:i w:val="false"/>
                  <w:caps w:val="false"/>
                  <w:smallCaps w:val="false"/>
                  <w:sz w:val="20"/>
                </w:rPr>
                <w:t>Next Day Disclosure Return, dated September 18,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b/>
                <w:sz w:val="20"/>
              </w:rPr>
            </w:pPr>
            <w:r>
              <w:rPr>
                <w:b/>
                <w:sz w:val="20"/>
              </w:rPr>
              <w:t>KANZHUN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5728d1_ex99-1.htm"/>
      <w:bookmarkStart w:id="3" w:name="kstm2625728d1_ex991"/>
      <w:bookmarkEnd w:id="2"/>
      <w:bookmarkEnd w:id="3"/>
      <w:r>
        <w:rPr>
          <w:rFonts w:ascii="Times New Roman" w:hAnsi="Times New Roman"/>
          <w:b/>
          <w:sz w:val="20"/>
        </w:rPr>
        <w:t>Exhibit 99.1</w:t>
      </w:r>
      <w:r>
        <w:br w:type="page"/>
      </w:r>
    </w:p>
    <w:tbl>
      <w:tblPr>
        <w:tblW w:w="17698" w:type="dxa"/>
        <w:jc w:val="right"/>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7 v 1.3.0 Next Day Disclosure Return (Equity issuer - changes in issued shares or treasury shares, share buybacks and/or on-market sales of treasury shares) Instrument: Equity issuer Status: New Submission Name of Issuer: KANZHUN LIMITED (A company controlled through weighted voting rights and incorporated in the Cayman Islands with limited liability) Date Submitted: 18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02076 Description Class A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September 2026 826,138,271 0 826,138,271 1). Issue of new shares or transfer of treasury shares in respect of share awards or options granted to a participant (who is not a director of the issuer) under a share scheme - new shares involved Exercise of share options Date of changes 11 September 2026 28,800 0.00303 % USD 2.2051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2). Issue of new shares or transfer of treasury shares in respect of share awards or options granted to a participant (who is not a director of the issuer) under a share scheme - new shares involved Exercise of share options Date of changes 16 September 2026 91,200 0.0096 % USD 4.776 3). Issue of new shares or transfer of treasury shares in respect of share awards or options granted to a participant (who is not a director of the issuer) under a share scheme - new shares involved Vesting and settlement of restricted share units Date of changes 16 September 2026 2,070,520 0.21806 % USD 0 4). Issue of new shares or transfer of treasury shares in respect of share awards or options granted to a participant (who is not a director of the issuer) under a share scheme - new shares involved Vesting and settlement of restricted share units Date of changes 17 September 2026 799,870 0.08405 % USD 0 5). Issue of new shares or transfer of treasury shares in respect of share awards or options granted to a director of the issuer under a share scheme - new shares involved Vesting and settlement of restricted share units Date of changes 17 September 2026 122,500 0.01287 % USD 0 6). Repurchase of shares (shares repurchased and cancelled) shares repurchased on May 27, 28, 29, June 1, 2, 3, 4, 5, 9, 10, 11,12, 15, 17, 18, 22, 23, 24, 25, 26, 29, 30, 2026 and cancelled on September 17, 2026 Date of changes 17 September 2026 -12,618,812 1.32596 % USD 6.7737 7). Other (please specify) Conversion of Class B ordinary shares to Class A ordinary shares Date of changes 17 September 2026 1,635,480 % Closing balance as at (Notes 5 and 6) 17 September 2026 818,267,829 0 818,267,829</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7 v 1.3.0 B. Shares redeemed or repurchased for cancellation but not yet cancelled as at the closing balance date (Notes 5 and 6) Not applicable 2. Class of shares WVR ordinary shares Type of shares B Listed on the Exchange No Stock code (if listed) 02076 Description Class A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September 2026 123,342,721 0 123,342,721 1). Other (please specify) Conversion of Class B ordinary shares to Class A ordinary shares Date of changes 17 September 2026 -1,635,480 % Closing balance as at (Notes 5 and 6) 17 September 2026 121,707,241 0 121,707,241 B. Shares redeemed or repurchased for cancellation but not yet cancelled as at the closing balance date (Notes 5 and 6) Not applicable Remarks: As of September 17, 2026 (i.e. after the issue, cancellation and conversion of shares on September 17, 2026), the number of Class A Ordinary Shares issued to the Depositary for bulk-issuance of ADSs reserved for future issuances upon the exercise or vesting of awards granted under the Share Incentive Plans is 27,678,434.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7 v 1.3.0 Section II must also be completed by a listed issuer where it has made a repurchase of shares which is discloseable under Main Board Rule 10.06(4)(a) / GEM Rule 13.13(1). Repurchase report Not applicable Remarks: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Remarks: Kanzhun Limited (the “Company”) purchased a total of 6,309,406 American depository shares (representing 12,618,812 Class A ordinary shares) during the period from 27 May 2026 to 30 June 2026 (the “Shares Repurchased”) on the Nasdaq Global Select Market. All the Shares Repurchased were subsequently cancelled on 17 September 2026 and the number of issued and outstanding Class A ordinary shares was reduced by 12,618,812 shares as a result of the cancellation accordingly. Upon cancellation of the Shares Repurchased, the weighted voting rights (“WVR”) beneficiary of the Company, simultaneously reduced his WVR in the Company proportionately by way of converting his Class B ordinary shares into Class A ordinary shares on a one-to-one ratio pursuant to Rule 8A.21 of the Listing Rules, such that the proportion of shares carrying WVR of the Company shall not be increased, pursuant to the requirements under Rules 8A.13 and 8A.15 of the Listing Rules. Submitted by: Liang Huaiyuan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2070</Words>
  <Characters>10280</Characters>
  <CharactersWithSpaces>12360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