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524d1_6k.htm"/>
      <w:bookmarkStart w:id="1" w:name="kstm2625524d1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001-40460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KANZHUN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21/F, GrandyVic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Taiyanggong Middle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28" w:type="dxa"/>
          <w:right w:w="0" w:type="dxa"/>
        </w:tblCellMar>
      </w:tblPr>
      <w:tblGrid>
        <w:gridCol w:w="1205"/>
        <w:gridCol w:w="60"/>
        <w:gridCol w:w="1835"/>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552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left"/>
              <w:rPr/>
            </w:pPr>
            <w:hyperlink w:anchor="tm2625524d1_ex99-1.htm">
              <w:r>
                <w:rPr>
                  <w:rStyle w:val="InternetLink"/>
                  <w:rFonts w:ascii="Times New Roman;Times;Serif" w:hAnsi="Times New Roman;Times;Serif"/>
                  <w:sz w:val="20"/>
                </w:rPr>
                <w:t>Grant of Share Awards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75"/>
        <w:gridCol w:w="485"/>
        <w:gridCol w:w="80"/>
        <w:gridCol w:w="3005"/>
      </w:tblGrid>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b/>
                <w:sz w:val="20"/>
              </w:rPr>
            </w:pPr>
            <w:r>
              <w:rPr>
                <w:b/>
                <w:sz w:val="20"/>
              </w:rPr>
              <w:t>KANZHUN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3005" w:type="dxa"/>
            <w:tcBorders>
              <w:bottom w:val="single" w:sz="8" w:space="0" w:color="000000"/>
            </w:tcBorders>
            <w:tcMar>
              <w:bottom w:w="28" w:type="dxa"/>
            </w:tcMar>
            <w:vAlign w:val="center"/>
          </w:tcPr>
          <w:p>
            <w:pPr>
              <w:pStyle w:val="TableContents"/>
              <w:bidi w:val="0"/>
              <w:spacing w:before="0" w:after="283"/>
              <w:jc w:val="left"/>
              <w:rPr/>
            </w:pPr>
            <w:r>
              <w:rPr/>
              <w:t>/s/ 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5524d1_ex99-1.htm"/>
      <w:bookmarkStart w:id="3" w:name="kstm2625524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90600"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0" cy="1038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KANZHUN LIMITED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看準科技有限公司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2076)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BZ)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granted an aggregate of 530,630 share awards in the form of RSUs (the “</w:t>
      </w:r>
      <w:r>
        <w:rPr>
          <w:rFonts w:ascii="Times New Roman;Times;Serif" w:hAnsi="Times New Roman;Times;Serif"/>
          <w:b/>
          <w:i w:val="false"/>
          <w:caps w:val="false"/>
          <w:smallCaps w:val="false"/>
          <w:sz w:val="20"/>
        </w:rPr>
        <w:t>Share Awards</w:t>
      </w:r>
      <w:r>
        <w:rPr>
          <w:rFonts w:ascii="Times New Roman;Times;Serif" w:hAnsi="Times New Roman;Times;Serif"/>
          <w:b w:val="false"/>
          <w:i w:val="false"/>
          <w:caps w:val="false"/>
          <w:smallCaps w:val="false"/>
          <w:sz w:val="20"/>
        </w:rPr>
        <w:t>”) (representing the same number of Class A Ordinary Shares) to 9 employees pursuant to the Post-IPO Share Scheme (the “</w:t>
      </w:r>
      <w:r>
        <w:rPr>
          <w:rFonts w:ascii="Times New Roman;Times;Serif" w:hAnsi="Times New Roman;Times;Serif"/>
          <w:b/>
          <w:i w:val="false"/>
          <w:caps w:val="false"/>
          <w:smallCaps w:val="false"/>
          <w:sz w:val="20"/>
        </w:rPr>
        <w:t>Grants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subject to the terms and conditions of the Post-IPO Share Scheme and the award agreements entered into between the Company and each of the Grantees. The principal terms of the Post-IPO Share Scheme were set out in the section headed “Statutory and General Information – D. Share Incentive Plans – 2. Post-IPO Share Scheme” in Appendix IV to the listing document of the Company dated December 16,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Awards will be satisfied through utilizing the Class A Ordinary Shares held by the depositary of the ADSs for bulk issuance of ADSs reserved for future issuances upon the exercise or vesting of awards granted under the Post-IPO Share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Grants are as follows:</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5945"/>
        <w:gridCol w:w="2705"/>
      </w:tblGrid>
      <w:tr>
        <w:trPr/>
        <w:tc>
          <w:tcPr>
            <w:tcW w:w="5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the Grants</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Grantees</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employees</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 Awards granted</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530,630 Class A Ordinary Shares</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price of Share Awards granted</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 per Share Award</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price of the Class A Ordinary Shares on the Date of the Grants</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HK$60.2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Periods of the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Grants, subject to the Grantee’s continued employment relationship with the Company on such vesting dates, (i) approximately 77.48% of the Share Awards under the Grants shall vest as follows: 50% shall vest on the second anniversary of the date of the Grants; 25% shall vest on the third anniversary of the date of the Grants; and 25% shall vest on the fourth anniversary of the date of the Grants; and (ii) approximately 22.52% of the Share Awards under the Grants shall vest in equal portions on each of the first, second, third and fourth anniversary of the date of the Grants,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Share Awards representing approximately 81.83% of the Share Awards under the Grants shall be vested subject to a performance target whereby the number of Share Awards to be vested shall be directly linked to the result of the Grantee’s performance evaluation in the relevant period as assessed by the Group. The vesting of the remaining portion of the Share Awards under the Grants is not subject to any performance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Awards are subject to clawback in the event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the Grantee ceases to be a selected participant by reason of the termination of employment or contractual engagement with the Group or Related Entity for cause or without notice or with payment in lieu of notice;</w:t>
            </w:r>
          </w:p>
        </w:tc>
      </w:tr>
    </w:tbl>
    <w:p>
      <w:pPr>
        <w:pStyle w:val="TextBody"/>
        <w:bidi w:val="0"/>
        <w:spacing w:before="0" w:after="0"/>
        <w:ind w:left="0" w:right="0" w:hanging="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1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55" w:type="dxa"/>
            <w:tcBorders/>
            <w:vAlign w:val="center"/>
          </w:tcPr>
          <w:p>
            <w:pPr>
              <w:pStyle w:val="TableContents"/>
              <w:bidi w:val="0"/>
              <w:spacing w:before="0" w:after="283"/>
              <w:jc w:val="both"/>
              <w:rPr>
                <w:sz w:val="20"/>
              </w:rPr>
            </w:pPr>
            <w:r>
              <w:rPr>
                <w:sz w:val="20"/>
              </w:rPr>
              <w:t>the Grantee has been convicted of a criminal offence involving his/her integrity or honesty;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in the reasonable opinion of the scheme administrator, the Grantee has engaged in serious misconduct or breaches the terms of the Post-IPO Share Scheme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Rules Implications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Grantees under the Grants are employees of the Group and do not fall under any of the following categories: (a) a Director, chief executive, or substantial Shareholder of the Company, or an associate of any of them; (b) a participant with share options and awards granted and to be granted in the 12-month period up to and including the date of such grant in aggregate to exceed 1% individual limit for the purpose of Rule 17.03D of the Listing Rules; or (c) a related entity participant or service provider with options and awards granted and to be granted in any 12-month period exceeding 0.1% of the relevant class of Shares in issue (excluding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and benefits of the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reasons for the grants of Share Awards are to reward continued efforts for the success of the Company and provide incentives for the Grantees to exert maximum efforts, and to provide a means by which more employees may be given an opportunity to benefit from increases in value of the Shares through the granting of the Share Awards. Such Grants will encourage them to work towards enhancing the value of the Company and the Shares for the benefits of the Company and the Shareholders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available for future grant under the Post-IPO Share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announcement and following the Grants, the number of Class A Ordinary Shares available for future grant under the scheme mandate limit of the Post-IPO Share Scheme is 47,989,514.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unless the context otherwise requires, the following expressions shall have the following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7"/>
        <w:gridCol w:w="8888"/>
      </w:tblGrid>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w:t>
            </w:r>
          </w:p>
        </w:tc>
        <w:tc>
          <w:tcPr>
            <w:tcW w:w="8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each representing two Class A Ordinary Shares</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Articles of Association”</w:t>
            </w:r>
          </w:p>
        </w:tc>
        <w:tc>
          <w:tcPr>
            <w:tcW w:w="8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sixteenth amended and restated articles of association of the Company conditionally adopted by special resolutions of the Shareholders on June 25, 2026</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w:t>
            </w:r>
          </w:p>
        </w:tc>
        <w:tc>
          <w:tcPr>
            <w:tcW w:w="8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w:t>
            </w:r>
          </w:p>
        </w:tc>
        <w:tc>
          <w:tcPr>
            <w:tcW w:w="8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in the share capital of the Company with a par value of US$0.0001 each, conferring a holder of Class A Ordinary Share one vote per Share on any resolution tabled at the Company’s general meeting</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w:t>
            </w:r>
          </w:p>
        </w:tc>
        <w:tc>
          <w:tcPr>
            <w:tcW w:w="8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in the share capital of the Company with a par value of US$0.0001 each, conferring weighted voting rights in the Company such that a holder of a Class B Ordinary Share is entitled to ten votes per Share on any resolution tabled at the Company’s general meeting, save for resolutions with respect to any Reserved Matters, in which case they shall be entitled to one vote per Share</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w:t>
            </w:r>
          </w:p>
        </w:tc>
        <w:tc>
          <w:tcPr>
            <w:tcW w:w="8888"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KANZHUN LIMITED (</w:t>
            </w:r>
            <w:r>
              <w:rPr>
                <w:rFonts w:eastAsia="Times New Roman;Times;Serif"/>
                <w:b w:val="false"/>
                <w:i w:val="false"/>
                <w:caps w:val="false"/>
                <w:smallCaps w:val="false"/>
                <w:sz w:val="20"/>
              </w:rPr>
              <w:t>看準科技有限公司</w:t>
            </w:r>
            <w:r>
              <w:rPr>
                <w:rFonts w:ascii="Times New Roman;Times;Serif" w:hAnsi="Times New Roman;Times;Serif"/>
                <w:b w:val="false"/>
                <w:i w:val="false"/>
                <w:caps w:val="false"/>
                <w:smallCaps w:val="false"/>
                <w:sz w:val="20"/>
              </w:rPr>
              <w:t>), a company with limited liability incorporated in the Cayman Islands on January 16, 2014</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Director(s)”</w:t>
            </w:r>
          </w:p>
        </w:tc>
        <w:tc>
          <w:tcPr>
            <w:tcW w:w="8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Grantee(s)”</w:t>
            </w:r>
          </w:p>
        </w:tc>
        <w:tc>
          <w:tcPr>
            <w:tcW w:w="8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employee(s) of the Group who were granted Share Awards in accordance with the Post-IPO Share Scheme on the date of the Grants</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Group”</w:t>
            </w:r>
          </w:p>
        </w:tc>
        <w:tc>
          <w:tcPr>
            <w:tcW w:w="8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subsidiaries and its consolidated affiliated entities</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Holding Company”</w:t>
            </w:r>
          </w:p>
        </w:tc>
        <w:tc>
          <w:tcPr>
            <w:tcW w:w="8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of which the Company is a subsidiary</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HK$”</w:t>
            </w:r>
          </w:p>
        </w:tc>
        <w:tc>
          <w:tcPr>
            <w:tcW w:w="8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dollars, the lawful currency of Hong Kong</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8888" w:type="dxa"/>
            <w:tcBorders/>
            <w:vAlign w:val="center"/>
          </w:tcPr>
          <w:p>
            <w:pPr>
              <w:pStyle w:val="TableContents"/>
              <w:bidi w:val="0"/>
              <w:spacing w:before="0" w:after="283"/>
              <w:jc w:val="left"/>
              <w:rPr/>
            </w:pPr>
            <w:r>
              <w:rPr/>
              <w:t> </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Listing Rules”</w:t>
            </w:r>
          </w:p>
        </w:tc>
        <w:tc>
          <w:tcPr>
            <w:tcW w:w="8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Governing the Listing of Securities on The Stock Exchange of Hong Kong Limited, as amended, supplemented or otherwise modified from time to time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76"/>
        <w:gridCol w:w="8929"/>
      </w:tblGrid>
      <w:tr>
        <w:trPr/>
        <w:tc>
          <w:tcPr>
            <w:tcW w:w="12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Post-IPO Share Scheme”</w:t>
            </w:r>
          </w:p>
        </w:tc>
        <w:tc>
          <w:tcPr>
            <w:tcW w:w="8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conditionally approved and adopted on December 14, 2022, which took effect upon the listing of the Company’s Class A Ordinary Share on the Main Board of The Stock Exchange of Hong Kong Limited</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8929" w:type="dxa"/>
            <w:tcBorders/>
            <w:vAlign w:val="center"/>
          </w:tcPr>
          <w:p>
            <w:pPr>
              <w:pStyle w:val="TableContents"/>
              <w:bidi w:val="0"/>
              <w:spacing w:before="0" w:after="283"/>
              <w:jc w:val="left"/>
              <w:rPr/>
            </w:pPr>
            <w:r>
              <w:rPr/>
              <w:t> </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Related Entity”</w:t>
            </w:r>
          </w:p>
        </w:tc>
        <w:tc>
          <w:tcPr>
            <w:tcW w:w="8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Holding Company; (ii) subsidiaries of the Holding Company other than members of the Group; or (iii) any company which is an associate of the Company</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8929" w:type="dxa"/>
            <w:tcBorders/>
            <w:vAlign w:val="center"/>
          </w:tcPr>
          <w:p>
            <w:pPr>
              <w:pStyle w:val="TableContents"/>
              <w:bidi w:val="0"/>
              <w:spacing w:before="0" w:after="283"/>
              <w:jc w:val="left"/>
              <w:rPr/>
            </w:pPr>
            <w:r>
              <w:rPr/>
              <w:t> </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Reserved Matters”</w:t>
            </w:r>
          </w:p>
        </w:tc>
        <w:tc>
          <w:tcPr>
            <w:tcW w:w="8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matters resolutions with respect to which each Share is entitled to one vote at general meetings of the Company pursuant to the Articles of Association, being (i) any amendment to the Memorandum or Articles, including the variation of the rights attached to any class of shares, (ii) the appointment, election or removal of any independent non-executive Director, (iii) the appointment or removal of the Company’s auditors, and (iv) the voluntary liquidation or winding-up of the Company</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8929" w:type="dxa"/>
            <w:tcBorders/>
            <w:vAlign w:val="center"/>
          </w:tcPr>
          <w:p>
            <w:pPr>
              <w:pStyle w:val="TableContents"/>
              <w:bidi w:val="0"/>
              <w:spacing w:before="0" w:after="283"/>
              <w:jc w:val="left"/>
              <w:rPr/>
            </w:pPr>
            <w:r>
              <w:rPr/>
              <w:t> </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RSU(s)”</w:t>
            </w:r>
          </w:p>
        </w:tc>
        <w:tc>
          <w:tcPr>
            <w:tcW w:w="8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units</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8929" w:type="dxa"/>
            <w:tcBorders/>
            <w:vAlign w:val="center"/>
          </w:tcPr>
          <w:p>
            <w:pPr>
              <w:pStyle w:val="TableContents"/>
              <w:bidi w:val="0"/>
              <w:spacing w:before="0" w:after="283"/>
              <w:jc w:val="left"/>
              <w:rPr/>
            </w:pPr>
            <w:r>
              <w:rPr/>
              <w:t> </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w:t>
            </w:r>
          </w:p>
        </w:tc>
        <w:tc>
          <w:tcPr>
            <w:tcW w:w="8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and the Class B Ordinary Shares in the share capital of the Company, as the context so requires</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8929" w:type="dxa"/>
            <w:tcBorders/>
            <w:vAlign w:val="center"/>
          </w:tcPr>
          <w:p>
            <w:pPr>
              <w:pStyle w:val="TableContents"/>
              <w:bidi w:val="0"/>
              <w:spacing w:before="0" w:after="283"/>
              <w:jc w:val="left"/>
              <w:rPr/>
            </w:pPr>
            <w:r>
              <w:rPr/>
              <w:t> </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 Award(s)”</w:t>
            </w:r>
          </w:p>
        </w:tc>
        <w:tc>
          <w:tcPr>
            <w:tcW w:w="8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which vests in the form of the right either to (i) subscribe for and/or be issued or (ii) purchase such number of Class A Ordinary Shares as the scheme administrator may determine at the issue price, pursuant to the terms of the Post-IPO Share Scheme</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8929" w:type="dxa"/>
            <w:tcBorders/>
            <w:vAlign w:val="center"/>
          </w:tcPr>
          <w:p>
            <w:pPr>
              <w:pStyle w:val="TableContents"/>
              <w:bidi w:val="0"/>
              <w:spacing w:before="0" w:after="283"/>
              <w:jc w:val="left"/>
              <w:rPr/>
            </w:pPr>
            <w:r>
              <w:rPr/>
              <w:t> </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Shareholder(s)”</w:t>
            </w:r>
          </w:p>
        </w:tc>
        <w:tc>
          <w:tcPr>
            <w:tcW w:w="8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Company</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 </w:t>
            </w:r>
          </w:p>
        </w:tc>
        <w:tc>
          <w:tcPr>
            <w:tcW w:w="8929" w:type="dxa"/>
            <w:tcBorders/>
            <w:vAlign w:val="center"/>
          </w:tcPr>
          <w:p>
            <w:pPr>
              <w:pStyle w:val="TableContents"/>
              <w:bidi w:val="0"/>
              <w:spacing w:before="0" w:after="283"/>
              <w:jc w:val="left"/>
              <w:rPr/>
            </w:pPr>
            <w:r>
              <w:rPr/>
              <w:t> </w:t>
            </w:r>
          </w:p>
        </w:tc>
      </w:tr>
      <w:tr>
        <w:trPr/>
        <w:tc>
          <w:tcPr>
            <w:tcW w:w="127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w:t>
            </w:r>
          </w:p>
        </w:tc>
        <w:tc>
          <w:tcPr>
            <w:tcW w:w="8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the lawful currency of the 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KANZHUN LIMITED</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Peng Zhao</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the Company comprises Mr. Peng Zhao, Mr. Tao Zhang, Mr. Xu Chen, Ms. Yang Mu and Ms. Xiehua Wang as the executive Directors, Mr. Haiyang Yu as the non-executive Director, Mr. Yonggang Sun, Mr. Yan Li and Ms. Hongyu Liu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1617</Words>
  <Characters>8112</Characters>
  <CharactersWithSpaces>9722</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