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730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308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Chen Xu</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21/F, GRANDYVIC BUILDING</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Kanzhun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84"/>
        <w:spacing w:after="0"/>
        <w:rPr>
          <w:sz w:val="20"/>
          <w:szCs w:val="20"/>
          <w:color w:val="auto"/>
        </w:rPr>
      </w:pPr>
      <w:r>
        <w:rPr>
          <w:rFonts w:ascii="Times New Roman" w:cs="Times New Roman" w:eastAsia="Times New Roman" w:hAnsi="Times New Roman"/>
          <w:sz w:val="17"/>
          <w:szCs w:val="17"/>
          <w:color w:val="0000FF"/>
        </w:rPr>
        <w:t>President</w:t>
      </w:r>
    </w:p>
    <w:p>
      <w:pPr>
        <w:spacing w:after="0" w:line="136"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TAIYANGGONG MIDDLE RD CHAOYANG</w:t>
      </w:r>
    </w:p>
    <w:p>
      <w:pPr>
        <w:spacing w:after="0" w:line="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DISTRICT</w:t>
      </w: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0" w:type="dxa"/>
            <w:vAlign w:val="bottom"/>
            <w:gridSpan w:val="7"/>
          </w:tcPr>
          <w:p>
            <w:pPr>
              <w:jc w:val="center"/>
              <w:ind w:right="17"/>
              <w:spacing w:after="0" w:line="129" w:lineRule="exact"/>
              <w:rPr>
                <w:sz w:val="20"/>
                <w:szCs w:val="20"/>
                <w:color w:val="auto"/>
              </w:rPr>
            </w:pPr>
            <w:r>
              <w:rPr>
                <w:rFonts w:ascii="Arial" w:cs="Arial" w:eastAsia="Arial" w:hAnsi="Arial"/>
                <w:sz w:val="13"/>
                <w:szCs w:val="13"/>
                <w:color w:val="auto"/>
                <w:w w:val="97"/>
              </w:rPr>
              <w:t>4. If Amendment, Date of Original Filed (Month/Day/Year)</w:t>
            </w:r>
          </w:p>
        </w:tc>
        <w:tc>
          <w:tcPr>
            <w:tcW w:w="3720" w:type="dxa"/>
            <w:vAlign w:val="bottom"/>
            <w:gridSpan w:val="10"/>
          </w:tcPr>
          <w:p>
            <w:pPr>
              <w:ind w:left="38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BEIJING</w:t>
            </w: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88"/>
              </w:rPr>
              <w:t>F4</w:t>
            </w:r>
          </w:p>
        </w:tc>
        <w:tc>
          <w:tcPr>
            <w:tcW w:w="1000" w:type="dxa"/>
            <w:vAlign w:val="bottom"/>
          </w:tcPr>
          <w:p>
            <w:pPr>
              <w:spacing w:after="0"/>
              <w:rPr>
                <w:sz w:val="4"/>
                <w:szCs w:val="4"/>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100028</w:t>
            </w: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9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8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(1)</w:t>
            </w: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370</w:t>
            </w:r>
            <w:r>
              <w:rPr>
                <w:rFonts w:ascii="Times New Roman" w:cs="Times New Roman" w:eastAsia="Times New Roman" w:hAnsi="Times New Roman"/>
                <w:sz w:val="21"/>
                <w:szCs w:val="21"/>
                <w:color w:val="008000"/>
                <w:vertAlign w:val="superscript"/>
              </w:rPr>
              <w:t>(2)</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153,424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(1)</w:t>
            </w: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jc w:val="center"/>
              <w:ind w:right="1"/>
              <w:spacing w:after="0" w:line="306" w:lineRule="exact"/>
              <w:rPr>
                <w:sz w:val="20"/>
                <w:szCs w:val="20"/>
                <w:color w:val="auto"/>
              </w:rPr>
            </w:pPr>
            <w:r>
              <w:rPr>
                <w:rFonts w:ascii="Times New Roman" w:cs="Times New Roman" w:eastAsia="Times New Roman" w:hAnsi="Times New Roman"/>
                <w:sz w:val="33"/>
                <w:szCs w:val="33"/>
                <w:color w:val="0000FF"/>
                <w:vertAlign w:val="subscript"/>
              </w:rPr>
              <w:t>84</w:t>
            </w:r>
            <w:r>
              <w:rPr>
                <w:rFonts w:ascii="Times New Roman" w:cs="Times New Roman" w:eastAsia="Times New Roman" w:hAnsi="Times New Roman"/>
                <w:sz w:val="11"/>
                <w:szCs w:val="11"/>
                <w:color w:val="008000"/>
              </w:rPr>
              <w:t>(3)</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6.825</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153,340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184,522</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KZBZ</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61"/>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932,434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932,434</w:t>
            </w: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183"/>
              <w:spacing w:after="0" w:line="141" w:lineRule="exact"/>
              <w:rPr>
                <w:sz w:val="20"/>
                <w:szCs w:val="20"/>
                <w:color w:val="auto"/>
              </w:rPr>
            </w:pPr>
            <w:r>
              <w:rPr>
                <w:rFonts w:ascii="Times New Roman" w:cs="Times New Roman" w:eastAsia="Times New Roman" w:hAnsi="Times New Roman"/>
                <w:sz w:val="13"/>
                <w:szCs w:val="13"/>
                <w:color w:val="0000FF"/>
              </w:rPr>
              <w:t>932,434</w:t>
            </w:r>
          </w:p>
        </w:tc>
        <w:tc>
          <w:tcPr>
            <w:tcW w:w="64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370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spacing w:after="0"/>
              <w:rPr>
                <w:sz w:val="5"/>
                <w:szCs w:val="5"/>
                <w:color w:val="auto"/>
              </w:rPr>
            </w:pPr>
          </w:p>
        </w:tc>
        <w:tc>
          <w:tcPr>
            <w:tcW w:w="30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370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-2094865</wp:posOffset>
            </wp:positionV>
            <wp:extent cx="29210" cy="2099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99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Class A ordinary shares are held through American Depositary Shares ("ADS") of the issuer. Each ADS represents two Class A ordinary shares.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acquired in the form of ADS upon the vesting of restricted share units ("RSU") on June 16, 2026.</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a "sell-to-cover" transaction to cover tax withholding obligations in connection with the vesting and settlement of the RSUs.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KZBZ Limited are held by Maples Trustee Services (Cayman) Limited as trustee of an employee shareholding trust, for the benefit of employees including Mr. Xu Chen.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Class A ordinary share at settlement.</w:t>
      </w:r>
    </w:p>
    <w:p>
      <w:pPr>
        <w:spacing w:after="0" w:line="41" w:lineRule="exact"/>
        <w:rPr>
          <w:rFonts w:ascii="Times New Roman" w:cs="Times New Roman" w:eastAsia="Times New Roman" w:hAnsi="Times New Roman"/>
          <w:sz w:val="13"/>
          <w:szCs w:val="13"/>
          <w:color w:val="008000"/>
        </w:rPr>
      </w:pPr>
    </w:p>
    <w:p>
      <w:pPr>
        <w:ind w:left="40" w:right="5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share unit award was granted on June 15, 2026, and vests in equal portions over four years on each anniversary of the grant date, subject to the terms and conditions of the underlying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16, 2026.</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Xu Chen</w:t>
            </w:r>
          </w:p>
        </w:tc>
        <w:tc>
          <w:tcPr>
            <w:tcW w:w="14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06/17/2026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4255" TargetMode="External"/><Relationship Id="rId14" Type="http://schemas.openxmlformats.org/officeDocument/2006/relationships/hyperlink" Target="http://www.sec.gov/cgi-bin/browse-edgar?action=getcompany&amp;CIK=0001842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2026-06-17T15:08:27Z</dcterms:created>
  <dcterms:modified xsi:type="dcterms:W3CDTF">2026-06-17T15:08:27Z</dcterms:modified>
</cp:coreProperties>
</file>