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0002116220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5"/>
        <w:gridCol w:w="3510"/>
      </w:tblGrid>
      <w:tr>
        <w:trPr/>
        <w:tc>
          <w:tcPr>
            <w:tcW w:w="6695" w:type="dxa"/>
            <w:tcBorders/>
            <w:vAlign w:val="center"/>
          </w:tcPr>
          <w:p>
            <w:pPr>
              <w:pStyle w:val="TableContents"/>
              <w:bidi w:val="0"/>
              <w:spacing w:before="0" w:after="283"/>
              <w:jc w:val="left"/>
              <w:rPr/>
            </w:pPr>
            <w:r>
              <w:rPr/>
              <w:t>Name of Issuer</w:t>
            </w:r>
          </w:p>
        </w:tc>
        <w:tc>
          <w:tcPr>
            <w:tcW w:w="3510" w:type="dxa"/>
            <w:tcBorders/>
            <w:vAlign w:val="center"/>
          </w:tcPr>
          <w:p>
            <w:pPr>
              <w:pStyle w:val="TableContents"/>
              <w:bidi w:val="0"/>
              <w:spacing w:before="0" w:after="0"/>
              <w:jc w:val="left"/>
              <w:rPr/>
            </w:pPr>
            <w:r>
              <w:rPr/>
              <w:t>Kanzhun Ltd</w:t>
            </w:r>
          </w:p>
        </w:tc>
      </w:tr>
      <w:tr>
        <w:trPr/>
        <w:tc>
          <w:tcPr>
            <w:tcW w:w="6695" w:type="dxa"/>
            <w:tcBorders/>
            <w:vAlign w:val="center"/>
          </w:tcPr>
          <w:p>
            <w:pPr>
              <w:pStyle w:val="TableContents"/>
              <w:bidi w:val="0"/>
              <w:spacing w:before="0" w:after="283"/>
              <w:jc w:val="left"/>
              <w:rPr/>
            </w:pPr>
            <w:r>
              <w:rPr/>
              <w:t>SEC File Number</w:t>
            </w:r>
          </w:p>
        </w:tc>
        <w:tc>
          <w:tcPr>
            <w:tcW w:w="3510" w:type="dxa"/>
            <w:tcBorders/>
            <w:vAlign w:val="center"/>
          </w:tcPr>
          <w:p>
            <w:pPr>
              <w:pStyle w:val="TableContents"/>
              <w:bidi w:val="0"/>
              <w:spacing w:before="0" w:after="0"/>
              <w:jc w:val="left"/>
              <w:rPr/>
            </w:pPr>
            <w:r>
              <w:rPr/>
              <w:t>001-40460</w:t>
            </w:r>
          </w:p>
        </w:tc>
      </w:tr>
      <w:tr>
        <w:trPr/>
        <w:tc>
          <w:tcPr>
            <w:tcW w:w="6695" w:type="dxa"/>
            <w:tcBorders/>
            <w:vAlign w:val="center"/>
          </w:tcPr>
          <w:p>
            <w:pPr>
              <w:pStyle w:val="TableContents"/>
              <w:bidi w:val="0"/>
              <w:spacing w:before="0" w:after="283"/>
              <w:jc w:val="left"/>
              <w:rPr/>
            </w:pPr>
            <w:r>
              <w:rPr/>
              <w:t>Address of Issuer</w:t>
            </w:r>
          </w:p>
        </w:tc>
        <w:tc>
          <w:tcPr>
            <w:tcW w:w="3510" w:type="dxa"/>
            <w:tcBorders/>
            <w:vAlign w:val="center"/>
          </w:tcPr>
          <w:p>
            <w:pPr>
              <w:pStyle w:val="TableContents"/>
              <w:bidi w:val="0"/>
              <w:spacing w:before="0" w:after="0"/>
              <w:jc w:val="left"/>
              <w:rPr/>
            </w:pPr>
            <w:r>
              <w:rPr/>
              <w:t>PO Box 309, Ugland House</w:t>
              <w:br/>
              <w:t>Grand Cayman</w:t>
              <w:br/>
              <w:t xml:space="preserve">CAYMAN ISLANDS </w:t>
              <w:br/>
              <w:t>KY1-1104</w:t>
            </w:r>
          </w:p>
        </w:tc>
      </w:tr>
      <w:tr>
        <w:trPr/>
        <w:tc>
          <w:tcPr>
            <w:tcW w:w="6695" w:type="dxa"/>
            <w:tcBorders/>
            <w:vAlign w:val="center"/>
          </w:tcPr>
          <w:p>
            <w:pPr>
              <w:pStyle w:val="TableContents"/>
              <w:bidi w:val="0"/>
              <w:spacing w:before="0" w:after="283"/>
              <w:jc w:val="left"/>
              <w:rPr/>
            </w:pPr>
            <w:r>
              <w:rPr/>
              <w:t>Phone</w:t>
            </w:r>
          </w:p>
        </w:tc>
        <w:tc>
          <w:tcPr>
            <w:tcW w:w="3510" w:type="dxa"/>
            <w:tcBorders/>
            <w:vAlign w:val="center"/>
          </w:tcPr>
          <w:p>
            <w:pPr>
              <w:pStyle w:val="TableContents"/>
              <w:bidi w:val="0"/>
              <w:spacing w:before="0" w:after="0"/>
              <w:jc w:val="left"/>
              <w:rPr/>
            </w:pPr>
            <w:r>
              <w:rPr/>
              <w:t>86-10-5904-5666</w:t>
            </w:r>
          </w:p>
        </w:tc>
      </w:tr>
      <w:tr>
        <w:trPr/>
        <w:tc>
          <w:tcPr>
            <w:tcW w:w="6695" w:type="dxa"/>
            <w:tcBorders/>
            <w:vAlign w:val="center"/>
          </w:tcPr>
          <w:p>
            <w:pPr>
              <w:pStyle w:val="TableContents"/>
              <w:bidi w:val="0"/>
              <w:spacing w:before="0" w:after="283"/>
              <w:jc w:val="left"/>
              <w:rPr/>
            </w:pPr>
            <w:r>
              <w:rPr/>
              <w:t>Name of Person for Whose Account the Securities are To Be Sold</w:t>
            </w:r>
          </w:p>
        </w:tc>
        <w:tc>
          <w:tcPr>
            <w:tcW w:w="3510" w:type="dxa"/>
            <w:tcBorders/>
            <w:vAlign w:val="center"/>
          </w:tcPr>
          <w:p>
            <w:pPr>
              <w:pStyle w:val="TableContents"/>
              <w:bidi w:val="0"/>
              <w:spacing w:before="0" w:after="0"/>
              <w:jc w:val="left"/>
              <w:rPr/>
            </w:pPr>
            <w:r>
              <w:rPr/>
              <w:t>MU Yang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5" w:type="dxa"/>
            <w:tcBorders/>
            <w:vAlign w:val="center"/>
          </w:tcPr>
          <w:p>
            <w:pPr>
              <w:pStyle w:val="TableContents"/>
              <w:bidi w:val="0"/>
              <w:spacing w:before="0" w:after="283"/>
              <w:jc w:val="left"/>
              <w:rPr/>
            </w:pPr>
            <w:r>
              <w:rPr/>
              <w:t>Relationship to Issuer</w:t>
            </w:r>
          </w:p>
        </w:tc>
        <w:tc>
          <w:tcPr>
            <w:tcW w:w="351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6"/>
        <w:gridCol w:w="1661"/>
        <w:gridCol w:w="1132"/>
        <w:gridCol w:w="1338"/>
        <w:gridCol w:w="1519"/>
        <w:gridCol w:w="1547"/>
        <w:gridCol w:w="1342"/>
      </w:tblGrid>
      <w:tr>
        <w:trPr/>
        <w:tc>
          <w:tcPr>
            <w:tcW w:w="1666"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2" w:type="dxa"/>
            <w:tcBorders/>
            <w:vAlign w:val="center"/>
          </w:tcPr>
          <w:p>
            <w:pPr>
              <w:pStyle w:val="TableHeading"/>
              <w:suppressLineNumbers/>
              <w:bidi w:val="0"/>
              <w:spacing w:before="0" w:after="283"/>
              <w:jc w:val="center"/>
              <w:rPr/>
            </w:pPr>
            <w:r>
              <w:rPr/>
              <w:t>Name the Securities Exchange</w:t>
            </w:r>
          </w:p>
        </w:tc>
      </w:tr>
      <w:tr>
        <w:trPr/>
        <w:tc>
          <w:tcPr>
            <w:tcW w:w="1666" w:type="dxa"/>
            <w:tcBorders/>
            <w:vAlign w:val="center"/>
          </w:tcPr>
          <w:p>
            <w:pPr>
              <w:pStyle w:val="TableContents"/>
              <w:bidi w:val="0"/>
              <w:spacing w:before="0" w:after="283"/>
              <w:jc w:val="left"/>
              <w:rPr/>
            </w:pPr>
            <w:r>
              <w:rPr/>
              <w:t>American Depositary Shares, each representing two Class A Ordinary Shares</w:t>
            </w:r>
          </w:p>
        </w:tc>
        <w:tc>
          <w:tcPr>
            <w:tcW w:w="1661" w:type="dxa"/>
            <w:tcBorders/>
            <w:vAlign w:val="center"/>
          </w:tcPr>
          <w:p>
            <w:pPr>
              <w:pStyle w:val="TableContents"/>
              <w:bidi w:val="0"/>
              <w:spacing w:before="0" w:after="0"/>
              <w:jc w:val="left"/>
              <w:rPr/>
            </w:pPr>
            <w:r>
              <w:rPr/>
              <w:t>Futu Securities International (Hong Kong) Limited</w:t>
              <w:br/>
              <w:t>34/F, United Centre</w:t>
              <w:br/>
              <w:t>No. 95 Queensway</w:t>
              <w:br/>
              <w:t>Admiralty   K3   00000</w:t>
            </w:r>
          </w:p>
        </w:tc>
        <w:tc>
          <w:tcPr>
            <w:tcW w:w="1132" w:type="dxa"/>
            <w:tcBorders/>
            <w:vAlign w:val="center"/>
          </w:tcPr>
          <w:p>
            <w:pPr>
              <w:pStyle w:val="TableContents"/>
              <w:bidi w:val="0"/>
              <w:spacing w:before="0" w:after="283"/>
              <w:jc w:val="left"/>
              <w:rPr/>
            </w:pPr>
            <w:r>
              <w:rPr/>
              <w:t>31000</w:t>
            </w:r>
          </w:p>
        </w:tc>
        <w:tc>
          <w:tcPr>
            <w:tcW w:w="1338" w:type="dxa"/>
            <w:tcBorders/>
            <w:vAlign w:val="center"/>
          </w:tcPr>
          <w:p>
            <w:pPr>
              <w:pStyle w:val="TableContents"/>
              <w:bidi w:val="0"/>
              <w:spacing w:before="0" w:after="283"/>
              <w:jc w:val="left"/>
              <w:rPr/>
            </w:pPr>
            <w:r>
              <w:rPr/>
              <w:t>465310.00</w:t>
            </w:r>
          </w:p>
        </w:tc>
        <w:tc>
          <w:tcPr>
            <w:tcW w:w="1519" w:type="dxa"/>
            <w:tcBorders/>
            <w:vAlign w:val="center"/>
          </w:tcPr>
          <w:p>
            <w:pPr>
              <w:pStyle w:val="TableContents"/>
              <w:bidi w:val="0"/>
              <w:spacing w:before="0" w:after="283"/>
              <w:jc w:val="left"/>
              <w:rPr/>
            </w:pPr>
            <w:r>
              <w:rPr/>
              <w:t>943762002</w:t>
            </w:r>
          </w:p>
        </w:tc>
        <w:tc>
          <w:tcPr>
            <w:tcW w:w="1547" w:type="dxa"/>
            <w:tcBorders/>
            <w:vAlign w:val="center"/>
          </w:tcPr>
          <w:p>
            <w:pPr>
              <w:pStyle w:val="TableContents"/>
              <w:bidi w:val="0"/>
              <w:spacing w:before="0" w:after="283"/>
              <w:jc w:val="left"/>
              <w:rPr/>
            </w:pPr>
            <w:r>
              <w:rPr/>
              <w:t>09/17/2026</w:t>
            </w:r>
          </w:p>
        </w:tc>
        <w:tc>
          <w:tcPr>
            <w:tcW w:w="134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8"/>
        <w:gridCol w:w="1510"/>
        <w:gridCol w:w="1222"/>
        <w:gridCol w:w="533"/>
        <w:gridCol w:w="1138"/>
        <w:gridCol w:w="1208"/>
        <w:gridCol w:w="1080"/>
        <w:gridCol w:w="1240"/>
      </w:tblGrid>
      <w:tr>
        <w:trPr/>
        <w:tc>
          <w:tcPr>
            <w:tcW w:w="1136"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Class A Ordinary Shares</w:t>
            </w:r>
          </w:p>
        </w:tc>
        <w:tc>
          <w:tcPr>
            <w:tcW w:w="1138" w:type="dxa"/>
            <w:tcBorders/>
            <w:vAlign w:val="center"/>
          </w:tcPr>
          <w:p>
            <w:pPr>
              <w:pStyle w:val="TableContents"/>
              <w:bidi w:val="0"/>
              <w:spacing w:before="0" w:after="283"/>
              <w:jc w:val="left"/>
              <w:rPr/>
            </w:pPr>
            <w:r>
              <w:rPr/>
              <w:t>09/17/2026</w:t>
            </w:r>
          </w:p>
        </w:tc>
        <w:tc>
          <w:tcPr>
            <w:tcW w:w="1510" w:type="dxa"/>
            <w:tcBorders/>
            <w:vAlign w:val="center"/>
          </w:tcPr>
          <w:p>
            <w:pPr>
              <w:pStyle w:val="TableContents"/>
              <w:bidi w:val="0"/>
              <w:spacing w:before="0" w:after="283"/>
              <w:jc w:val="left"/>
              <w:rPr/>
            </w:pPr>
            <w:r>
              <w:rPr/>
              <w:t>Employee equity incentive award</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62000</w:t>
            </w:r>
          </w:p>
        </w:tc>
        <w:tc>
          <w:tcPr>
            <w:tcW w:w="1080" w:type="dxa"/>
            <w:tcBorders/>
            <w:vAlign w:val="center"/>
          </w:tcPr>
          <w:p>
            <w:pPr>
              <w:pStyle w:val="TableContents"/>
              <w:bidi w:val="0"/>
              <w:spacing w:before="0" w:after="283"/>
              <w:jc w:val="left"/>
              <w:rPr/>
            </w:pPr>
            <w:r>
              <w:rPr/>
              <w:t>09/17/2026</w:t>
            </w:r>
          </w:p>
        </w:tc>
        <w:tc>
          <w:tcPr>
            <w:tcW w:w="1240"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75"/>
        <w:gridCol w:w="9130"/>
      </w:tblGrid>
      <w:tr>
        <w:trPr/>
        <w:tc>
          <w:tcPr>
            <w:tcW w:w="1075" w:type="dxa"/>
            <w:tcBorders/>
            <w:vAlign w:val="center"/>
          </w:tcPr>
          <w:p>
            <w:pPr>
              <w:pStyle w:val="TableContents"/>
              <w:bidi w:val="0"/>
              <w:spacing w:before="0" w:after="283"/>
              <w:jc w:val="left"/>
              <w:rPr/>
            </w:pPr>
            <w:r>
              <w:rPr/>
              <w:t>Remarks</w:t>
            </w:r>
          </w:p>
        </w:tc>
        <w:tc>
          <w:tcPr>
            <w:tcW w:w="9130" w:type="dxa"/>
            <w:tcBorders/>
            <w:vAlign w:val="center"/>
          </w:tcPr>
          <w:p>
            <w:pPr>
              <w:pStyle w:val="TableContents"/>
              <w:bidi w:val="0"/>
              <w:spacing w:before="0" w:after="0"/>
              <w:jc w:val="left"/>
              <w:rPr/>
            </w:pPr>
            <w:r>
              <w:rPr/>
              <w:t>[1] As of 08/31/2026, Issuer has 943,762,002 ordinary shares outstanding on an as-converted basis, including 820,419,281 Class A Ordinary Shares, and 123,342,721 Class B Ordinary Shares (excluding the 23,891,502 Class A Ordinary Shares issued to the depositary for bulk-issuance of ADSs reserved for future issuances upon the exercise or vesting of awards granted under the Issuer's Share Incentive Plans), as reported in the Form 6-K filed by Issuer on 09/04/2026. Each ADS represents 2 Class A Ordinary Shares of the Issuer. [2] Securities to be sold will be acquired on 09/17/2026 upon the vesting of RSUs. The sale is to meet cashless settlement of the tax payable for the newly vested RSUs. [3] Aggregate Market Value is as of 09/16/2026.</w:t>
            </w:r>
          </w:p>
        </w:tc>
      </w:tr>
      <w:tr>
        <w:trPr/>
        <w:tc>
          <w:tcPr>
            <w:tcW w:w="1075" w:type="dxa"/>
            <w:tcBorders/>
            <w:vAlign w:val="center"/>
          </w:tcPr>
          <w:p>
            <w:pPr>
              <w:pStyle w:val="TableContents"/>
              <w:bidi w:val="0"/>
              <w:spacing w:before="0" w:after="283"/>
              <w:jc w:val="left"/>
              <w:rPr/>
            </w:pPr>
            <w:r>
              <w:rPr/>
              <w:t>Date of Notice</w:t>
            </w:r>
          </w:p>
        </w:tc>
        <w:tc>
          <w:tcPr>
            <w:tcW w:w="9130"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5" w:type="dxa"/>
            <w:tcBorders/>
            <w:vAlign w:val="center"/>
          </w:tcPr>
          <w:p>
            <w:pPr>
              <w:pStyle w:val="TableContents"/>
              <w:bidi w:val="0"/>
              <w:spacing w:before="0" w:after="283"/>
              <w:jc w:val="left"/>
              <w:rPr/>
            </w:pPr>
            <w:r>
              <w:rPr/>
              <w:t>Signature</w:t>
            </w:r>
          </w:p>
        </w:tc>
        <w:tc>
          <w:tcPr>
            <w:tcW w:w="9130" w:type="dxa"/>
            <w:tcBorders/>
            <w:vAlign w:val="center"/>
          </w:tcPr>
          <w:p>
            <w:pPr>
              <w:pStyle w:val="TableContents"/>
              <w:bidi w:val="0"/>
              <w:spacing w:before="0" w:after="0"/>
              <w:jc w:val="left"/>
              <w:rPr/>
            </w:pPr>
            <w:r>
              <w:rPr/>
              <w:t>/s/ MU Yang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3619</Characters>
  <CharactersWithSpaces>4274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