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5"/>
        <w:gridCol w:w="3510"/>
      </w:tblGrid>
      <w:tr>
        <w:trPr/>
        <w:tc>
          <w:tcPr>
            <w:tcW w:w="6695" w:type="dxa"/>
            <w:tcBorders/>
            <w:vAlign w:val="center"/>
          </w:tcPr>
          <w:p>
            <w:pPr>
              <w:pStyle w:val="TableContents"/>
              <w:bidi w:val="0"/>
              <w:spacing w:before="0" w:after="283"/>
              <w:jc w:val="left"/>
              <w:rPr/>
            </w:pPr>
            <w:r>
              <w:rPr/>
              <w:t>Name of Issuer</w:t>
            </w:r>
          </w:p>
        </w:tc>
        <w:tc>
          <w:tcPr>
            <w:tcW w:w="3510" w:type="dxa"/>
            <w:tcBorders/>
            <w:vAlign w:val="center"/>
          </w:tcPr>
          <w:p>
            <w:pPr>
              <w:pStyle w:val="TableContents"/>
              <w:bidi w:val="0"/>
              <w:spacing w:before="0" w:after="0"/>
              <w:jc w:val="left"/>
              <w:rPr/>
            </w:pPr>
            <w:r>
              <w:rPr/>
              <w:t>Kanzhun Limited</w:t>
            </w:r>
          </w:p>
        </w:tc>
      </w:tr>
      <w:tr>
        <w:trPr/>
        <w:tc>
          <w:tcPr>
            <w:tcW w:w="6695" w:type="dxa"/>
            <w:tcBorders/>
            <w:vAlign w:val="center"/>
          </w:tcPr>
          <w:p>
            <w:pPr>
              <w:pStyle w:val="TableContents"/>
              <w:bidi w:val="0"/>
              <w:spacing w:before="0" w:after="283"/>
              <w:jc w:val="left"/>
              <w:rPr/>
            </w:pPr>
            <w:r>
              <w:rPr/>
              <w:t>SEC File Number</w:t>
            </w:r>
          </w:p>
        </w:tc>
        <w:tc>
          <w:tcPr>
            <w:tcW w:w="3510" w:type="dxa"/>
            <w:tcBorders/>
            <w:vAlign w:val="center"/>
          </w:tcPr>
          <w:p>
            <w:pPr>
              <w:pStyle w:val="TableContents"/>
              <w:bidi w:val="0"/>
              <w:spacing w:before="0" w:after="0"/>
              <w:jc w:val="left"/>
              <w:rPr/>
            </w:pPr>
            <w:r>
              <w:rPr/>
              <w:t>001-40460</w:t>
            </w:r>
          </w:p>
        </w:tc>
      </w:tr>
      <w:tr>
        <w:trPr/>
        <w:tc>
          <w:tcPr>
            <w:tcW w:w="6695" w:type="dxa"/>
            <w:tcBorders/>
            <w:vAlign w:val="center"/>
          </w:tcPr>
          <w:p>
            <w:pPr>
              <w:pStyle w:val="TableContents"/>
              <w:bidi w:val="0"/>
              <w:spacing w:before="0" w:after="283"/>
              <w:jc w:val="left"/>
              <w:rPr/>
            </w:pPr>
            <w:r>
              <w:rPr/>
              <w:t>Address of Issuer</w:t>
            </w:r>
          </w:p>
        </w:tc>
        <w:tc>
          <w:tcPr>
            <w:tcW w:w="3510" w:type="dxa"/>
            <w:tcBorders/>
            <w:vAlign w:val="center"/>
          </w:tcPr>
          <w:p>
            <w:pPr>
              <w:pStyle w:val="TableContents"/>
              <w:bidi w:val="0"/>
              <w:spacing w:before="0" w:after="0"/>
              <w:jc w:val="left"/>
              <w:rPr/>
            </w:pPr>
            <w:r>
              <w:rPr/>
              <w:t>PO Box 309, Ugland House</w:t>
              <w:br/>
              <w:t>Grand Cayman</w:t>
              <w:br/>
              <w:t xml:space="preserve">CAYMAN ISLANDS </w:t>
              <w:br/>
              <w:t>KY1-1104</w:t>
            </w:r>
          </w:p>
        </w:tc>
      </w:tr>
      <w:tr>
        <w:trPr/>
        <w:tc>
          <w:tcPr>
            <w:tcW w:w="6695" w:type="dxa"/>
            <w:tcBorders/>
            <w:vAlign w:val="center"/>
          </w:tcPr>
          <w:p>
            <w:pPr>
              <w:pStyle w:val="TableContents"/>
              <w:bidi w:val="0"/>
              <w:spacing w:before="0" w:after="283"/>
              <w:jc w:val="left"/>
              <w:rPr/>
            </w:pPr>
            <w:r>
              <w:rPr/>
              <w:t>Phone</w:t>
            </w:r>
          </w:p>
        </w:tc>
        <w:tc>
          <w:tcPr>
            <w:tcW w:w="3510" w:type="dxa"/>
            <w:tcBorders/>
            <w:vAlign w:val="center"/>
          </w:tcPr>
          <w:p>
            <w:pPr>
              <w:pStyle w:val="TableContents"/>
              <w:bidi w:val="0"/>
              <w:spacing w:before="0" w:after="0"/>
              <w:jc w:val="left"/>
              <w:rPr/>
            </w:pPr>
            <w:r>
              <w:rPr/>
              <w:t>86-10-8462-8340</w:t>
            </w:r>
          </w:p>
        </w:tc>
      </w:tr>
      <w:tr>
        <w:trPr/>
        <w:tc>
          <w:tcPr>
            <w:tcW w:w="6695" w:type="dxa"/>
            <w:tcBorders/>
            <w:vAlign w:val="center"/>
          </w:tcPr>
          <w:p>
            <w:pPr>
              <w:pStyle w:val="TableContents"/>
              <w:bidi w:val="0"/>
              <w:spacing w:before="0" w:after="283"/>
              <w:jc w:val="left"/>
              <w:rPr/>
            </w:pPr>
            <w:r>
              <w:rPr/>
              <w:t>Name of Person for Whose Account the Securities are To Be Sold</w:t>
            </w:r>
          </w:p>
        </w:tc>
        <w:tc>
          <w:tcPr>
            <w:tcW w:w="3510" w:type="dxa"/>
            <w:tcBorders/>
            <w:vAlign w:val="center"/>
          </w:tcPr>
          <w:p>
            <w:pPr>
              <w:pStyle w:val="TableContents"/>
              <w:bidi w:val="0"/>
              <w:spacing w:before="0" w:after="0"/>
              <w:jc w:val="left"/>
              <w:rPr/>
            </w:pPr>
            <w:r>
              <w:rPr/>
              <w:t>Techwolf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5" w:type="dxa"/>
            <w:tcBorders/>
            <w:vAlign w:val="center"/>
          </w:tcPr>
          <w:p>
            <w:pPr>
              <w:pStyle w:val="TableContents"/>
              <w:bidi w:val="0"/>
              <w:spacing w:before="0" w:after="283"/>
              <w:jc w:val="left"/>
              <w:rPr/>
            </w:pPr>
            <w:r>
              <w:rPr/>
              <w:t>Relationship to Issuer</w:t>
            </w:r>
          </w:p>
        </w:tc>
        <w:tc>
          <w:tcPr>
            <w:tcW w:w="3510" w:type="dxa"/>
            <w:tcBorders/>
            <w:vAlign w:val="center"/>
          </w:tcPr>
          <w:p>
            <w:pPr>
              <w:pStyle w:val="TableContents"/>
              <w:bidi w:val="0"/>
              <w:spacing w:before="0" w:after="0"/>
              <w:jc w:val="left"/>
              <w:rPr/>
            </w:pPr>
            <w:r>
              <w:rPr/>
              <w:t>Officer</w:t>
            </w:r>
          </w:p>
        </w:tc>
      </w:tr>
      <w:tr>
        <w:trPr/>
        <w:tc>
          <w:tcPr>
            <w:tcW w:w="6695" w:type="dxa"/>
            <w:tcBorders/>
            <w:vAlign w:val="center"/>
          </w:tcPr>
          <w:p>
            <w:pPr>
              <w:pStyle w:val="TableContents"/>
              <w:bidi w:val="0"/>
              <w:spacing w:before="0" w:after="283"/>
              <w:jc w:val="left"/>
              <w:rPr/>
            </w:pPr>
            <w:r>
              <w:rPr/>
              <w:t>Relationship to Issuer</w:t>
            </w:r>
          </w:p>
        </w:tc>
        <w:tc>
          <w:tcPr>
            <w:tcW w:w="3510" w:type="dxa"/>
            <w:tcBorders/>
            <w:vAlign w:val="center"/>
          </w:tcPr>
          <w:p>
            <w:pPr>
              <w:pStyle w:val="TableContents"/>
              <w:bidi w:val="0"/>
              <w:spacing w:before="0" w:after="0"/>
              <w:jc w:val="left"/>
              <w:rPr/>
            </w:pPr>
            <w:r>
              <w:rPr/>
              <w:t>Director</w:t>
            </w:r>
          </w:p>
        </w:tc>
      </w:tr>
      <w:tr>
        <w:trPr/>
        <w:tc>
          <w:tcPr>
            <w:tcW w:w="6695" w:type="dxa"/>
            <w:tcBorders/>
            <w:vAlign w:val="center"/>
          </w:tcPr>
          <w:p>
            <w:pPr>
              <w:pStyle w:val="TableContents"/>
              <w:bidi w:val="0"/>
              <w:spacing w:before="0" w:after="283"/>
              <w:jc w:val="left"/>
              <w:rPr/>
            </w:pPr>
            <w:r>
              <w:rPr/>
              <w:t>Relationship to Issuer</w:t>
            </w:r>
          </w:p>
        </w:tc>
        <w:tc>
          <w:tcPr>
            <w:tcW w:w="351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413"/>
        <w:gridCol w:w="12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413" w:type="dxa"/>
            <w:tcBorders/>
            <w:vAlign w:val="center"/>
          </w:tcPr>
          <w:p>
            <w:pPr>
              <w:pStyle w:val="TableHeading"/>
              <w:suppressLineNumbers/>
              <w:bidi w:val="0"/>
              <w:spacing w:before="0" w:after="283"/>
              <w:jc w:val="center"/>
              <w:rPr/>
            </w:pPr>
            <w:r>
              <w:rPr/>
              <w:t>Name and Address of the Broker</w:t>
            </w:r>
          </w:p>
        </w:tc>
        <w:tc>
          <w:tcPr>
            <w:tcW w:w="12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Class A Ordinary Shares</w:t>
            </w:r>
          </w:p>
        </w:tc>
        <w:tc>
          <w:tcPr>
            <w:tcW w:w="1413" w:type="dxa"/>
            <w:tcBorders/>
            <w:vAlign w:val="center"/>
          </w:tcPr>
          <w:p>
            <w:pPr>
              <w:pStyle w:val="TableContents"/>
              <w:bidi w:val="0"/>
              <w:spacing w:before="0" w:after="0"/>
              <w:jc w:val="left"/>
              <w:rPr/>
            </w:pPr>
            <w:r>
              <w:rPr/>
              <w:t>Goldman Sachs (Asia) L.L.C.</w:t>
              <w:br/>
              <w:t>68/F, Cheung Kong Center</w:t>
              <w:br/>
              <w:t>2 Queen's Road Central</w:t>
              <w:br/>
              <w:t>Hong Kong   K3   00000</w:t>
            </w:r>
          </w:p>
        </w:tc>
        <w:tc>
          <w:tcPr>
            <w:tcW w:w="1249" w:type="dxa"/>
            <w:tcBorders/>
            <w:vAlign w:val="center"/>
          </w:tcPr>
          <w:p>
            <w:pPr>
              <w:pStyle w:val="TableContents"/>
              <w:bidi w:val="0"/>
              <w:spacing w:before="0" w:after="283"/>
              <w:jc w:val="left"/>
              <w:rPr/>
            </w:pPr>
            <w:r>
              <w:rPr/>
              <w:t>11933600</w:t>
            </w:r>
          </w:p>
        </w:tc>
        <w:tc>
          <w:tcPr>
            <w:tcW w:w="1556" w:type="dxa"/>
            <w:tcBorders/>
            <w:vAlign w:val="center"/>
          </w:tcPr>
          <w:p>
            <w:pPr>
              <w:pStyle w:val="TableContents"/>
              <w:bidi w:val="0"/>
              <w:spacing w:before="0" w:after="283"/>
              <w:jc w:val="left"/>
              <w:rPr/>
            </w:pPr>
            <w:r>
              <w:rPr/>
              <w:t>88308640.00</w:t>
            </w:r>
          </w:p>
        </w:tc>
        <w:tc>
          <w:tcPr>
            <w:tcW w:w="1535" w:type="dxa"/>
            <w:tcBorders/>
            <w:vAlign w:val="center"/>
          </w:tcPr>
          <w:p>
            <w:pPr>
              <w:pStyle w:val="TableContents"/>
              <w:bidi w:val="0"/>
              <w:spacing w:before="0" w:after="283"/>
              <w:jc w:val="left"/>
              <w:rPr/>
            </w:pPr>
            <w:r>
              <w:rPr/>
              <w:t>943762002</w:t>
            </w:r>
          </w:p>
        </w:tc>
        <w:tc>
          <w:tcPr>
            <w:tcW w:w="1557" w:type="dxa"/>
            <w:tcBorders/>
            <w:vAlign w:val="center"/>
          </w:tcPr>
          <w:p>
            <w:pPr>
              <w:pStyle w:val="TableContents"/>
              <w:bidi w:val="0"/>
              <w:spacing w:before="0" w:after="283"/>
              <w:jc w:val="left"/>
              <w:rPr/>
            </w:pPr>
            <w:r>
              <w:rPr/>
              <w:t>09/21/2026</w:t>
            </w:r>
          </w:p>
        </w:tc>
        <w:tc>
          <w:tcPr>
            <w:tcW w:w="1361" w:type="dxa"/>
            <w:tcBorders/>
            <w:vAlign w:val="center"/>
          </w:tcPr>
          <w:p>
            <w:pPr>
              <w:pStyle w:val="TableContents"/>
              <w:bidi w:val="0"/>
              <w:spacing w:before="0" w:after="0"/>
              <w:jc w:val="left"/>
              <w:rPr/>
            </w:pPr>
            <w:r>
              <w:rPr/>
              <w:t>HKEX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Shares</w:t>
            </w:r>
          </w:p>
        </w:tc>
        <w:tc>
          <w:tcPr>
            <w:tcW w:w="1137" w:type="dxa"/>
            <w:tcBorders/>
            <w:vAlign w:val="center"/>
          </w:tcPr>
          <w:p>
            <w:pPr>
              <w:pStyle w:val="TableContents"/>
              <w:bidi w:val="0"/>
              <w:spacing w:before="0" w:after="283"/>
              <w:jc w:val="left"/>
              <w:rPr/>
            </w:pPr>
            <w:r>
              <w:rPr/>
              <w:t>05/20/2014</w:t>
            </w:r>
          </w:p>
        </w:tc>
        <w:tc>
          <w:tcPr>
            <w:tcW w:w="1510" w:type="dxa"/>
            <w:tcBorders/>
            <w:vAlign w:val="center"/>
          </w:tcPr>
          <w:p>
            <w:pPr>
              <w:pStyle w:val="TableContents"/>
              <w:bidi w:val="0"/>
              <w:spacing w:before="0" w:after="283"/>
              <w:jc w:val="left"/>
              <w:rPr/>
            </w:pPr>
            <w:r>
              <w:rPr/>
              <w:t>Founder shares</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11933600</w:t>
            </w:r>
          </w:p>
        </w:tc>
        <w:tc>
          <w:tcPr>
            <w:tcW w:w="1080" w:type="dxa"/>
            <w:tcBorders/>
            <w:vAlign w:val="center"/>
          </w:tcPr>
          <w:p>
            <w:pPr>
              <w:pStyle w:val="TableContents"/>
              <w:bidi w:val="0"/>
              <w:spacing w:before="0" w:after="283"/>
              <w:jc w:val="left"/>
              <w:rPr/>
            </w:pPr>
            <w:r>
              <w:rPr/>
              <w:t>05/20/2014</w:t>
            </w:r>
          </w:p>
        </w:tc>
        <w:tc>
          <w:tcPr>
            <w:tcW w:w="1242"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98"/>
        <w:gridCol w:w="930"/>
        <w:gridCol w:w="1542"/>
        <w:gridCol w:w="1824"/>
      </w:tblGrid>
      <w:tr>
        <w:trPr/>
        <w:tc>
          <w:tcPr>
            <w:tcW w:w="2911" w:type="dxa"/>
            <w:tcBorders/>
            <w:vAlign w:val="center"/>
          </w:tcPr>
          <w:p>
            <w:pPr>
              <w:pStyle w:val="TableHeading"/>
              <w:suppressLineNumbers/>
              <w:bidi w:val="0"/>
              <w:spacing w:before="0" w:after="283"/>
              <w:jc w:val="center"/>
              <w:rPr/>
            </w:pPr>
            <w:r>
              <w:rPr/>
              <w:t>Name and Address of Seller</w:t>
            </w:r>
          </w:p>
        </w:tc>
        <w:tc>
          <w:tcPr>
            <w:tcW w:w="299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4"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Techwolf Limited</w:t>
              <w:br/>
              <w:t>Start Chambers, Wickham's Cay II</w:t>
              <w:br/>
              <w:t>P.O. Box 2221 Roadtown</w:t>
              <w:br/>
              <w:t>Tortola   D8   VG1110</w:t>
            </w:r>
          </w:p>
        </w:tc>
        <w:tc>
          <w:tcPr>
            <w:tcW w:w="2998" w:type="dxa"/>
            <w:tcBorders/>
            <w:vAlign w:val="center"/>
          </w:tcPr>
          <w:p>
            <w:pPr>
              <w:pStyle w:val="TableContents"/>
              <w:bidi w:val="0"/>
              <w:spacing w:before="0" w:after="283"/>
              <w:jc w:val="left"/>
              <w:rPr/>
            </w:pPr>
            <w:r>
              <w:rPr/>
              <w:t>American Depositary Shares, each representing two Class A Ordinary Shares</w:t>
            </w:r>
          </w:p>
        </w:tc>
        <w:tc>
          <w:tcPr>
            <w:tcW w:w="930" w:type="dxa"/>
            <w:tcBorders/>
            <w:vAlign w:val="center"/>
          </w:tcPr>
          <w:p>
            <w:pPr>
              <w:pStyle w:val="TableContents"/>
              <w:bidi w:val="0"/>
              <w:spacing w:before="0" w:after="283"/>
              <w:jc w:val="left"/>
              <w:rPr/>
            </w:pPr>
            <w:r>
              <w:rPr/>
              <w:t>09/10/2026</w:t>
            </w:r>
          </w:p>
        </w:tc>
        <w:tc>
          <w:tcPr>
            <w:tcW w:w="1542" w:type="dxa"/>
            <w:tcBorders/>
            <w:vAlign w:val="center"/>
          </w:tcPr>
          <w:p>
            <w:pPr>
              <w:pStyle w:val="TableContents"/>
              <w:bidi w:val="0"/>
              <w:spacing w:before="0" w:after="283"/>
              <w:jc w:val="left"/>
              <w:rPr/>
            </w:pPr>
            <w:r>
              <w:rPr/>
              <w:t>192000</w:t>
            </w:r>
          </w:p>
        </w:tc>
        <w:tc>
          <w:tcPr>
            <w:tcW w:w="1824" w:type="dxa"/>
            <w:tcBorders/>
            <w:vAlign w:val="center"/>
          </w:tcPr>
          <w:p>
            <w:pPr>
              <w:pStyle w:val="TableContents"/>
              <w:bidi w:val="0"/>
              <w:spacing w:before="0" w:after="283"/>
              <w:jc w:val="left"/>
              <w:rPr/>
            </w:pPr>
            <w:r>
              <w:rPr/>
              <w:t>3140505.60</w:t>
            </w:r>
          </w:p>
        </w:tc>
      </w:tr>
      <w:tr>
        <w:trPr/>
        <w:tc>
          <w:tcPr>
            <w:tcW w:w="2911" w:type="dxa"/>
            <w:tcBorders/>
            <w:vAlign w:val="center"/>
          </w:tcPr>
          <w:p>
            <w:pPr>
              <w:pStyle w:val="TableContents"/>
              <w:bidi w:val="0"/>
              <w:spacing w:before="0" w:after="283"/>
              <w:jc w:val="left"/>
              <w:rPr/>
            </w:pPr>
            <w:r>
              <w:rPr/>
              <w:t>Techwolf Limited</w:t>
              <w:br/>
              <w:t>Start Chambers, Wickham's Cay II</w:t>
              <w:br/>
              <w:t>P.O. Box 2221 Roadtown</w:t>
              <w:br/>
              <w:t>Tortola   D8   VG1110</w:t>
            </w:r>
          </w:p>
        </w:tc>
        <w:tc>
          <w:tcPr>
            <w:tcW w:w="2998" w:type="dxa"/>
            <w:tcBorders/>
            <w:vAlign w:val="center"/>
          </w:tcPr>
          <w:p>
            <w:pPr>
              <w:pStyle w:val="TableContents"/>
              <w:bidi w:val="0"/>
              <w:spacing w:before="0" w:after="283"/>
              <w:jc w:val="left"/>
              <w:rPr/>
            </w:pPr>
            <w:r>
              <w:rPr/>
              <w:t>American Depositary Shares, each representing two Class A Ordinary Shares</w:t>
            </w:r>
          </w:p>
        </w:tc>
        <w:tc>
          <w:tcPr>
            <w:tcW w:w="930" w:type="dxa"/>
            <w:tcBorders/>
            <w:vAlign w:val="center"/>
          </w:tcPr>
          <w:p>
            <w:pPr>
              <w:pStyle w:val="TableContents"/>
              <w:bidi w:val="0"/>
              <w:spacing w:before="0" w:after="283"/>
              <w:jc w:val="left"/>
              <w:rPr/>
            </w:pPr>
            <w:r>
              <w:rPr/>
              <w:t>09/11/2026</w:t>
            </w:r>
          </w:p>
        </w:tc>
        <w:tc>
          <w:tcPr>
            <w:tcW w:w="1542" w:type="dxa"/>
            <w:tcBorders/>
            <w:vAlign w:val="center"/>
          </w:tcPr>
          <w:p>
            <w:pPr>
              <w:pStyle w:val="TableContents"/>
              <w:bidi w:val="0"/>
              <w:spacing w:before="0" w:after="283"/>
              <w:jc w:val="left"/>
              <w:rPr/>
            </w:pPr>
            <w:r>
              <w:rPr/>
              <w:t>179800</w:t>
            </w:r>
          </w:p>
        </w:tc>
        <w:tc>
          <w:tcPr>
            <w:tcW w:w="1824" w:type="dxa"/>
            <w:tcBorders/>
            <w:vAlign w:val="center"/>
          </w:tcPr>
          <w:p>
            <w:pPr>
              <w:pStyle w:val="TableContents"/>
              <w:bidi w:val="0"/>
              <w:spacing w:before="0" w:after="283"/>
              <w:jc w:val="left"/>
              <w:rPr/>
            </w:pPr>
            <w:r>
              <w:rPr/>
              <w:t>2977703.76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72"/>
        <w:gridCol w:w="9133"/>
      </w:tblGrid>
      <w:tr>
        <w:trPr/>
        <w:tc>
          <w:tcPr>
            <w:tcW w:w="1072" w:type="dxa"/>
            <w:tcBorders/>
            <w:vAlign w:val="center"/>
          </w:tcPr>
          <w:p>
            <w:pPr>
              <w:pStyle w:val="TableContents"/>
              <w:bidi w:val="0"/>
              <w:spacing w:before="0" w:after="283"/>
              <w:jc w:val="left"/>
              <w:rPr/>
            </w:pPr>
            <w:r>
              <w:rPr/>
              <w:t>Remarks</w:t>
            </w:r>
          </w:p>
        </w:tc>
        <w:tc>
          <w:tcPr>
            <w:tcW w:w="9133" w:type="dxa"/>
            <w:tcBorders/>
            <w:vAlign w:val="center"/>
          </w:tcPr>
          <w:p>
            <w:pPr>
              <w:pStyle w:val="TableContents"/>
              <w:bidi w:val="0"/>
              <w:spacing w:before="0" w:after="0"/>
              <w:jc w:val="left"/>
              <w:rPr/>
            </w:pPr>
            <w:r>
              <w:rPr/>
              <w:t>[1] As of 08/31/2026, Issuer has 943,762,002 ordinary shares outstanding on an as-converted basis, including 820,419,281 Class A Ordinary Shares, and 123,342,721 Class B Ordinary Shares (excluding the 23,891,502 Class A Ordinary Shares issued to the depositary for bulk-issuance of ADSs reserved for future issuances upon the exercise or vesting of awards granted under the Issuer's Share Incentive Plans), as reported in the Form 6-K filed by Issuer on 09/04/2026. Each Class B Ordinary Share is automatically converted into one Class A Ordinary Share upon any direct or indirect sale, transfer, assignment, or disposition. Each ADS represents 2 Class A Ordinary Shares of the Issuer. [2] Aggregate Market Value is as of 09/18/2026. [3] The sale is for the Seller's own funding needs.</w:t>
            </w:r>
          </w:p>
        </w:tc>
      </w:tr>
      <w:tr>
        <w:trPr/>
        <w:tc>
          <w:tcPr>
            <w:tcW w:w="1072" w:type="dxa"/>
            <w:tcBorders/>
            <w:vAlign w:val="center"/>
          </w:tcPr>
          <w:p>
            <w:pPr>
              <w:pStyle w:val="TableContents"/>
              <w:bidi w:val="0"/>
              <w:spacing w:before="0" w:after="283"/>
              <w:jc w:val="left"/>
              <w:rPr/>
            </w:pPr>
            <w:r>
              <w:rPr/>
              <w:t>Date of Notice</w:t>
            </w:r>
          </w:p>
        </w:tc>
        <w:tc>
          <w:tcPr>
            <w:tcW w:w="9133"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2" w:type="dxa"/>
            <w:tcBorders/>
            <w:vAlign w:val="center"/>
          </w:tcPr>
          <w:p>
            <w:pPr>
              <w:pStyle w:val="TableContents"/>
              <w:bidi w:val="0"/>
              <w:spacing w:before="0" w:after="283"/>
              <w:jc w:val="left"/>
              <w:rPr/>
            </w:pPr>
            <w:r>
              <w:rPr/>
              <w:t>Signature</w:t>
            </w:r>
          </w:p>
        </w:tc>
        <w:tc>
          <w:tcPr>
            <w:tcW w:w="9133" w:type="dxa"/>
            <w:tcBorders/>
            <w:vAlign w:val="center"/>
          </w:tcPr>
          <w:p>
            <w:pPr>
              <w:pStyle w:val="TableContents"/>
              <w:bidi w:val="0"/>
              <w:spacing w:before="0" w:after="0"/>
              <w:jc w:val="left"/>
              <w:rPr/>
            </w:pPr>
            <w:r>
              <w:rPr/>
              <w:t>/s/ ZHAO Peng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4070</Characters>
  <CharactersWithSpaces>4787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