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002d1_6k.htm"/>
      <w:bookmarkStart w:id="1" w:name="kstm262600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28" w:type="dxa"/>
          <w:right w:w="0" w:type="dxa"/>
        </w:tblCellMar>
      </w:tblPr>
      <w:tblGrid>
        <w:gridCol w:w="1205"/>
        <w:gridCol w:w="60"/>
        <w:gridCol w:w="545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4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600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hyperlink w:anchor="tm2626002d1_ex99-1.htm">
              <w:r>
                <w:rPr>
                  <w:rStyle w:val="InternetLink"/>
                </w:rPr>
                <w:t>Next Day Disclosure Return, dated September 23,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458" w:type="dxa"/>
        <w:jc w:val="left"/>
        <w:tblInd w:w="0" w:type="dxa"/>
        <w:tblLayout w:type="fixed"/>
        <w:tblCellMar>
          <w:top w:w="0" w:type="dxa"/>
          <w:left w:w="0" w:type="dxa"/>
          <w:bottom w:w="0" w:type="dxa"/>
          <w:right w:w="0" w:type="dxa"/>
        </w:tblCellMar>
      </w:tblPr>
      <w:tblGrid>
        <w:gridCol w:w="38"/>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both"/>
              <w:rPr>
                <w:b/>
              </w:rPr>
            </w:pPr>
            <w:r>
              <w:rPr>
                <w:b/>
              </w:rPr>
              <w:t>KANZHUN LIMITED</w:t>
            </w:r>
          </w:p>
        </w:tc>
      </w:tr>
    </w:tbl>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bottom w:val="single" w:sz="8" w:space="0" w:color="000000"/>
            </w:tcBorders>
            <w:tcMar>
              <w:bottom w:w="28" w:type="dxa"/>
            </w:tcMar>
            <w:vAlign w:val="center"/>
          </w:tcPr>
          <w:p>
            <w:pPr>
              <w:pStyle w:val="TableContents"/>
              <w:bidi w:val="0"/>
              <w:spacing w:before="0" w:after="283"/>
              <w:jc w:val="left"/>
              <w:rPr/>
            </w:pPr>
            <w:r>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6002d1_ex99-1.htm"/>
      <w:bookmarkStart w:id="3" w:name="kstm2626002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7 v 1.3.0 Next Day Disclosure Return (Equity issuer - changes in issued shares or treasury shares, share buybacks and/or on-market sales of treasury shares) Instrument: Equity issuer Status: New Submission Name of Issuer: KANZHUN LIMITED (A company controlled through weighted voting rights and incorporated in the Cayman Islands with limited liability) Date Submitted: 23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02076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September 2026 818,267,829 0 818,267,829 1). Issue of new shares or transfer of treasury shares in respect of share awards or options granted to a participant (who is not a director of the issuer) under a share scheme - new shares involved Exercise of share options Date of changes 18 September 2026 20,400 0.00217 % USD 3.1248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2). Issue of new shares or transfer of treasury shares in respect of share awards or options granted to a participant (who is not a director of the issuer) under a share scheme - new shares involved Vesting and settlement of restricted share units Date of changes 18 September 2026 596,064 0.06341 % USD 0 3). Other (please specify) Conversion of Class B ordinary shares to Class A ordinary shares Date of changes 22 September 2026 10,710,440 % Closing balance as at (Notes 5 and 6) 22 September 2026 829,594,733 0 829,594,733 B. Shares redeemed or repurchased for cancellation but not yet cancelled as at the closing balance date (Notes 5 and 6) Not applicable 2. Class of shares WVR ordinary shares Type of shares B Listed on the Exchange No Stock code (if listed) 02076 Description Class B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September 2026 121,707,241 0 121,707,241 1). Other (please specify) Conversion of Class B ordinary shares to Class A ordinary shares Date of changes 22 September 2026 -10,710,440 %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7 v 1.3.0 Closing balance as at (Notes 5 and 6) 22 September 2026 110,996,801 0 110,996,801 B. Shares redeemed or repurchased for cancellation but not yet cancelled as at the closing balance date (Notes 5 and 6) Not applicable Remarks: As of September 22, 2026 (i.e. after the conversion of shares on September 22, 2026), the number of Class A Ordinary Shares issued to the Depositary for bulk-issuance of ADSs reserved for future issuances upon the exercise or vesting of awards granted under the Share Incentive Plans is 27,061,970.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7 v 1.3.0 Section II must also be completed by a listed issuer where it has made a repurchase of shares which is discloseable under Main Board Rule 10.06(4)(a) / GEM Rule 13.13(1). Repurchase report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Liang Huaiyuan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1707</Words>
  <Characters>8497</Characters>
  <CharactersWithSpaces>10225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