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3124d1_6k.htm"/>
      <w:bookmarkStart w:id="1" w:name="kstm2623124d1_6k"/>
      <w:bookmarkEnd w:id="0"/>
      <w:bookmarkEnd w:id="1"/>
      <w:r>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6-K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month of August 2026</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 001-40460</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KANZHUN LIMITED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21/F, GrandyVic Building,</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Taiyanggong Middle Road</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Chaoyang District, Beijing 100028</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People’s Republic of China</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Exhibit Index</w:t>
      </w:r>
    </w:p>
    <w:p>
      <w:pPr>
        <w:pStyle w:val="TextBody"/>
        <w:bidi w:val="0"/>
        <w:spacing w:before="0" w:after="0"/>
        <w:ind w:left="0" w:right="0" w:hanging="0"/>
        <w:jc w:val="left"/>
        <w:rPr>
          <w:caps w:val="false"/>
          <w:smallCaps w:val="false"/>
        </w:rPr>
      </w:pPr>
      <w:r>
        <w:rPr>
          <w:caps w:val="false"/>
          <w:smallCaps w:val="false"/>
        </w:rPr>
        <w:t> </w:t>
      </w:r>
    </w:p>
    <w:tbl>
      <w:tblPr>
        <w:tblW w:w="3115" w:type="dxa"/>
        <w:jc w:val="left"/>
        <w:tblInd w:w="0" w:type="dxa"/>
        <w:tblLayout w:type="fixed"/>
        <w:tblCellMar>
          <w:top w:w="0" w:type="dxa"/>
          <w:left w:w="0" w:type="dxa"/>
          <w:bottom w:w="28" w:type="dxa"/>
          <w:right w:w="0" w:type="dxa"/>
        </w:tblCellMar>
      </w:tblPr>
      <w:tblGrid>
        <w:gridCol w:w="995"/>
        <w:gridCol w:w="60"/>
        <w:gridCol w:w="2060"/>
      </w:tblGrid>
      <w:tr>
        <w:trPr/>
        <w:tc>
          <w:tcPr>
            <w:tcW w:w="99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206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tcMar>
              <w:bottom w:w="0" w:type="dxa"/>
            </w:tcMar>
            <w:vAlign w:val="center"/>
          </w:tcPr>
          <w:p>
            <w:pPr>
              <w:pStyle w:val="TableContents"/>
              <w:bidi w:val="0"/>
              <w:spacing w:before="0" w:after="283"/>
              <w:jc w:val="center"/>
              <w:rPr/>
            </w:pPr>
            <w:hyperlink w:anchor="tm2623124d1_ex99-1.htm">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2060" w:type="dxa"/>
            <w:tcBorders/>
            <w:tcMar>
              <w:bottom w:w="0" w:type="dxa"/>
            </w:tcMar>
            <w:vAlign w:val="center"/>
          </w:tcPr>
          <w:p>
            <w:pPr>
              <w:pStyle w:val="TableContents"/>
              <w:bidi w:val="0"/>
              <w:spacing w:before="0" w:after="283"/>
              <w:jc w:val="left"/>
              <w:rPr/>
            </w:pPr>
            <w:hyperlink w:anchor="tm2623124d1_ex99-1.htm">
              <w:r>
                <w:rPr>
                  <w:rStyle w:val="InternetLink"/>
                  <w:rFonts w:ascii="Times New Roman;Times;Serif" w:hAnsi="Times New Roman;Times;Serif"/>
                  <w:sz w:val="20"/>
                </w:rPr>
                <w:t>Notice of Board Meeting</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3645" w:type="dxa"/>
        <w:jc w:val="left"/>
        <w:tblInd w:w="0" w:type="dxa"/>
        <w:tblLayout w:type="fixed"/>
        <w:tblCellMar>
          <w:top w:w="0" w:type="dxa"/>
          <w:left w:w="0" w:type="dxa"/>
          <w:bottom w:w="0" w:type="dxa"/>
          <w:right w:w="0" w:type="dxa"/>
        </w:tblCellMar>
      </w:tblPr>
      <w:tblGrid>
        <w:gridCol w:w="75"/>
        <w:gridCol w:w="485"/>
        <w:gridCol w:w="80"/>
        <w:gridCol w:w="3005"/>
      </w:tblGrid>
      <w:tr>
        <w:trPr/>
        <w:tc>
          <w:tcPr>
            <w:tcW w:w="75" w:type="dxa"/>
            <w:tcBorders/>
            <w:vAlign w:val="center"/>
          </w:tcPr>
          <w:p>
            <w:pPr>
              <w:pStyle w:val="TableContents"/>
              <w:bidi w:val="0"/>
              <w:spacing w:before="0" w:after="283"/>
              <w:jc w:val="left"/>
              <w:rPr/>
            </w:pPr>
            <w:r>
              <w:rPr/>
              <w:t> </w:t>
            </w:r>
          </w:p>
        </w:tc>
        <w:tc>
          <w:tcPr>
            <w:tcW w:w="3570"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KANZHUN LIMITED</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300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Peng Zhao</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3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Peng Zhao</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3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 and Chief Executive Officer</w:t>
            </w:r>
          </w:p>
        </w:tc>
      </w:tr>
    </w:tbl>
    <w:p>
      <w:pPr>
        <w:pStyle w:val="TextBody"/>
        <w:bidi w:val="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jc w:val="right"/>
        <w:rPr>
          <w:b/>
          <w:sz w:val="20"/>
        </w:rPr>
      </w:pPr>
      <w:bookmarkStart w:id="2" w:name="tm2623124d1_ex99-1.htm"/>
      <w:bookmarkStart w:id="3" w:name="kstm2623124d1_ex991"/>
      <w:bookmarkEnd w:id="2"/>
      <w:bookmarkEnd w:id="3"/>
      <w:r>
        <w:rPr>
          <w:b/>
          <w:sz w:val="20"/>
        </w:rPr>
        <w:t>Exhibit 99.1</w:t>
      </w:r>
      <w:r>
        <w:br w:type="page"/>
      </w:r>
    </w:p>
    <w:p>
      <w:pPr>
        <w:pStyle w:val="TextBody"/>
        <w:bidi w:val="0"/>
        <w:spacing w:before="0" w:after="283"/>
        <w:jc w:val="left"/>
        <w:rPr/>
      </w:pPr>
      <w:r>
        <w:rPr/>
        <w:t> </w:t>
      </w:r>
    </w:p>
    <w:p>
      <w:pPr>
        <w:pStyle w:val="TextBody"/>
        <w:bidi w:val="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Hong Kong Exchanges and Clearing Limited and The Stock Exchange of Hong Kong Limited take no responsibility for the contents of this announcement, make no representation as to its accuracy or completeness and expressly disclaim any liability whatsoever for any loss howsoever arising from or in reliance upon the whole or any part of the contents of this announcement.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923925" cy="9239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23925" cy="923925"/>
                    </a:xfrm>
                    <a:prstGeom prst="rect">
                      <a:avLst/>
                    </a:prstGeom>
                  </pic:spPr>
                </pic:pic>
              </a:graphicData>
            </a:graphic>
          </wp:inline>
        </w:drawing>
      </w:r>
    </w:p>
    <w:p>
      <w:pPr>
        <w:pStyle w:val="TextBody"/>
        <w:bidi w:val="0"/>
        <w:spacing w:before="6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KANZHUN LIMITED</w:t>
      </w:r>
    </w:p>
    <w:p>
      <w:pPr>
        <w:pStyle w:val="TextBody"/>
        <w:bidi w:val="0"/>
        <w:spacing w:before="0" w:after="0"/>
        <w:jc w:val="center"/>
        <w:rPr>
          <w:rFonts w:eastAsia="Times New Roman;Times;Serif"/>
          <w:b/>
          <w:i w:val="false"/>
          <w:caps w:val="false"/>
          <w:smallCaps w:val="false"/>
          <w:sz w:val="20"/>
        </w:rPr>
      </w:pPr>
      <w:r>
        <w:rPr>
          <w:rFonts w:eastAsia="Times New Roman;Times;Serif"/>
          <w:b/>
          <w:i w:val="false"/>
          <w:caps w:val="false"/>
          <w:smallCaps w:val="false"/>
          <w:sz w:val="20"/>
        </w:rPr>
        <w:t>看準科技有限公司</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 company controlled through weighted voting rights and incorporated in the Cayman Islands with limited liability)</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Code: 2076)</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(Nasdaq Stock Ticker: BZ)</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BOARD MEETING</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(the “</w:t>
      </w: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of KANZHUN LIMITED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hereby announces that a meeting of the Board will be held on Tuesday, August 25, 2026, for the purpose of, among other matters, considering and approving, (i) the unaudited results of the Company for the three months ended June 30, 2026 and its publication, and (ii) the unaudited interim results of the Company for the six months ended June 30, 2026 and its publication.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management will hold an earnings conference call on Tuesday, August 25, 2026, at 8:00 a.m. U.S. Eastern Time or 8:00 p.m. Beijing/Hong Kong Time on the same day. A live and archived webcast of the conference call will be available on the Company’s investor relations website at https://ir.zhipin.com.</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participants who wish to join the conference call, please complete online registration using the link provided below. Upon registration, participants will receive an email containing dial-in numbers and unique personal PIN. This information will allow participants to gain immediate access to the call. Participants may pre-register at any time, including up to and after the call start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Participant Online Registration: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https://register-conf.media-server.com/register/BI270c41bec5db48968b0cb374ee844028</w:t>
      </w:r>
    </w:p>
    <w:p>
      <w:pPr>
        <w:pStyle w:val="TextBody"/>
        <w:bidi w:val="0"/>
        <w:spacing w:before="0" w:after="0"/>
        <w:ind w:left="0" w:right="0" w:hanging="0"/>
        <w:jc w:val="left"/>
        <w:rPr>
          <w:caps w:val="false"/>
          <w:smallCaps w:val="false"/>
        </w:rPr>
      </w:pPr>
      <w:r>
        <w:rPr>
          <w:caps w:val="false"/>
          <w:smallCaps w:val="false"/>
        </w:rPr>
        <w:t> </w:t>
      </w:r>
    </w:p>
    <w:tbl>
      <w:tblPr>
        <w:tblW w:w="4040" w:type="dxa"/>
        <w:jc w:val="left"/>
        <w:tblInd w:w="0" w:type="dxa"/>
        <w:tblLayout w:type="fixed"/>
        <w:tblCellMar>
          <w:top w:w="0" w:type="dxa"/>
          <w:left w:w="0" w:type="dxa"/>
          <w:bottom w:w="0" w:type="dxa"/>
          <w:right w:w="0" w:type="dxa"/>
        </w:tblCellMar>
      </w:tblPr>
      <w:tblGrid>
        <w:gridCol w:w="75"/>
        <w:gridCol w:w="3965"/>
      </w:tblGrid>
      <w:tr>
        <w:trPr/>
        <w:tc>
          <w:tcPr>
            <w:tcW w:w="75" w:type="dxa"/>
            <w:tcBorders/>
            <w:vAlign w:val="center"/>
          </w:tcPr>
          <w:p>
            <w:pPr>
              <w:pStyle w:val="TableContents"/>
              <w:bidi w:val="0"/>
              <w:spacing w:before="0" w:after="283"/>
              <w:jc w:val="left"/>
              <w:rPr/>
            </w:pPr>
            <w:r>
              <w:rPr/>
              <w:t> </w:t>
            </w:r>
          </w:p>
        </w:tc>
        <w:tc>
          <w:tcPr>
            <w:tcW w:w="396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By Order of the Board</w:t>
            </w:r>
          </w:p>
        </w:tc>
      </w:tr>
      <w:tr>
        <w:trPr/>
        <w:tc>
          <w:tcPr>
            <w:tcW w:w="75" w:type="dxa"/>
            <w:tcBorders/>
            <w:vAlign w:val="center"/>
          </w:tcPr>
          <w:p>
            <w:pPr>
              <w:pStyle w:val="TableContents"/>
              <w:bidi w:val="0"/>
              <w:spacing w:before="0" w:after="283"/>
              <w:jc w:val="left"/>
              <w:rPr/>
            </w:pPr>
            <w:r>
              <w:rPr/>
              <w:t> </w:t>
            </w:r>
          </w:p>
        </w:tc>
        <w:tc>
          <w:tcPr>
            <w:tcW w:w="396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KANZHUN LIMITED</w:t>
            </w:r>
          </w:p>
        </w:tc>
      </w:tr>
      <w:tr>
        <w:trPr/>
        <w:tc>
          <w:tcPr>
            <w:tcW w:w="75" w:type="dxa"/>
            <w:tcBorders/>
            <w:vAlign w:val="center"/>
          </w:tcPr>
          <w:p>
            <w:pPr>
              <w:pStyle w:val="TableContents"/>
              <w:bidi w:val="0"/>
              <w:spacing w:before="0" w:after="283"/>
              <w:jc w:val="left"/>
              <w:rPr/>
            </w:pPr>
            <w:r>
              <w:rPr/>
              <w:t> </w:t>
            </w:r>
          </w:p>
        </w:tc>
        <w:tc>
          <w:tcPr>
            <w:tcW w:w="396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Mr. Peng Zhao</w:t>
            </w:r>
          </w:p>
        </w:tc>
      </w:tr>
      <w:tr>
        <w:trPr/>
        <w:tc>
          <w:tcPr>
            <w:tcW w:w="75" w:type="dxa"/>
            <w:tcBorders/>
            <w:vAlign w:val="center"/>
          </w:tcPr>
          <w:p>
            <w:pPr>
              <w:pStyle w:val="TableContents"/>
              <w:bidi w:val="0"/>
              <w:spacing w:before="0" w:after="283"/>
              <w:jc w:val="left"/>
              <w:rPr/>
            </w:pPr>
            <w:r>
              <w:rPr/>
              <w:t> </w:t>
            </w:r>
          </w:p>
        </w:tc>
        <w:tc>
          <w:tcPr>
            <w:tcW w:w="3965" w:type="dxa"/>
            <w:tcBorders/>
            <w:vAlign w:val="center"/>
          </w:tcPr>
          <w:p>
            <w:pPr>
              <w:pStyle w:val="TableContents"/>
              <w:bidi w:val="0"/>
              <w:spacing w:before="0" w:after="283"/>
              <w:jc w:val="center"/>
              <w:rPr>
                <w:rFonts w:ascii="Times New Roman;Times;Serif" w:hAnsi="Times New Roman;Times;Serif"/>
                <w:i/>
                <w:sz w:val="20"/>
              </w:rPr>
            </w:pPr>
            <w:r>
              <w:rPr>
                <w:rFonts w:ascii="Times New Roman;Times;Serif" w:hAnsi="Times New Roman;Times;Serif"/>
                <w:i/>
                <w:sz w:val="20"/>
              </w:rPr>
              <w:t>Founder, Chairman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Hong Kong, August 13,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 at the date of this announcement, the Board of the Company comprises Mr. Peng Zhao, Mr. Xu Chen, Mr. Tao Zhang, Ms. Xiehua Wang and Ms. Yang Mu as the executive directors, Mr. Haiyang Yu as the non-executive director, Mr. Yonggang Sun, Mr. Yan Li and Ms. Hongyu Liu as the independent non-executive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512</Words>
  <Characters>2744</Characters>
  <CharactersWithSpaces>3262</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