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923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923155"/>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WANG Xiehua</w:t>
              </w:r>
            </w:hyperlink>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gridSpan w:val="6"/>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Kanzhun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BZ</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08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21/F, GRANDYVIC BUILDING</w:t>
            </w:r>
          </w:p>
        </w:tc>
        <w:tc>
          <w:tcPr>
            <w:tcW w:w="1080" w:type="dxa"/>
            <w:vAlign w:val="bottom"/>
          </w:tcPr>
          <w:p>
            <w:pPr>
              <w:spacing w:after="0"/>
              <w:rPr>
                <w:sz w:val="18"/>
                <w:szCs w:val="18"/>
                <w:color w:val="auto"/>
              </w:rPr>
            </w:pPr>
          </w:p>
        </w:tc>
        <w:tc>
          <w:tcPr>
            <w:tcW w:w="136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0000FF"/>
              </w:rPr>
              <w:t>06/16/2026</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TAIYANGGONG MIDDLE RD CHAOYANG</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ind w:left="20"/>
              <w:spacing w:after="0" w:line="180" w:lineRule="exact"/>
              <w:rPr>
                <w:sz w:val="20"/>
                <w:szCs w:val="20"/>
                <w:color w:val="auto"/>
              </w:rPr>
            </w:pPr>
            <w:r>
              <w:rPr>
                <w:rFonts w:ascii="Times New Roman" w:cs="Times New Roman" w:eastAsia="Times New Roman" w:hAnsi="Times New Roman"/>
                <w:sz w:val="17"/>
                <w:szCs w:val="17"/>
                <w:color w:val="0000FF"/>
              </w:rPr>
              <w:t>DISTRICT</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8"/>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5"/>
                <w:szCs w:val="15"/>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BEIJING</w:t>
            </w:r>
          </w:p>
        </w:tc>
        <w:tc>
          <w:tcPr>
            <w:tcW w:w="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w w:val="88"/>
              </w:rPr>
              <w:t>F4</w:t>
            </w:r>
          </w:p>
        </w:tc>
        <w:tc>
          <w:tcPr>
            <w:tcW w:w="10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100028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08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5"/>
          </w:tcPr>
          <w:p>
            <w:pPr>
              <w:ind w:left="600"/>
              <w:spacing w:after="0" w:line="128"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1"/>
                <w:szCs w:val="21"/>
                <w:color w:val="008000"/>
                <w:vertAlign w:val="superscript"/>
              </w:rPr>
              <w:t>(1)</w:t>
            </w:r>
          </w:p>
        </w:tc>
        <w:tc>
          <w:tcPr>
            <w:tcW w:w="1660" w:type="dxa"/>
            <w:vAlign w:val="bottom"/>
            <w:tcBorders>
              <w:bottom w:val="single" w:sz="8" w:color="2C2C2C"/>
            </w:tcBorders>
            <w:gridSpan w:val="5"/>
          </w:tcPr>
          <w:p>
            <w:pPr>
              <w:ind w:left="700"/>
              <w:spacing w:after="0"/>
              <w:rPr>
                <w:sz w:val="20"/>
                <w:szCs w:val="20"/>
                <w:color w:val="auto"/>
              </w:rPr>
            </w:pPr>
            <w:r>
              <w:rPr>
                <w:rFonts w:ascii="Times New Roman" w:cs="Times New Roman" w:eastAsia="Times New Roman" w:hAnsi="Times New Roman"/>
                <w:sz w:val="17"/>
                <w:szCs w:val="17"/>
                <w:color w:val="0000FF"/>
              </w:rPr>
              <w:t>06/16/2026</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150,000</w:t>
            </w:r>
            <w:r>
              <w:rPr>
                <w:rFonts w:ascii="Times New Roman" w:cs="Times New Roman" w:eastAsia="Times New Roman" w:hAnsi="Times New Roman"/>
                <w:sz w:val="21"/>
                <w:szCs w:val="21"/>
                <w:color w:val="008000"/>
                <w:vertAlign w:val="superscript"/>
              </w:rPr>
              <w:t>(2)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right"/>
              <w:ind w:right="136"/>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635,988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1"/>
                <w:szCs w:val="21"/>
                <w:color w:val="008000"/>
                <w:vertAlign w:val="superscript"/>
              </w:rPr>
              <w:t>(1)</w:t>
            </w:r>
          </w:p>
        </w:tc>
        <w:tc>
          <w:tcPr>
            <w:tcW w:w="1660" w:type="dxa"/>
            <w:vAlign w:val="bottom"/>
            <w:tcBorders>
              <w:bottom w:val="single" w:sz="8" w:color="2C2C2C"/>
            </w:tcBorders>
            <w:gridSpan w:val="5"/>
          </w:tcPr>
          <w:p>
            <w:pPr>
              <w:ind w:left="700"/>
              <w:spacing w:after="0"/>
              <w:rPr>
                <w:sz w:val="20"/>
                <w:szCs w:val="20"/>
                <w:color w:val="auto"/>
              </w:rPr>
            </w:pPr>
            <w:r>
              <w:rPr>
                <w:rFonts w:ascii="Times New Roman" w:cs="Times New Roman" w:eastAsia="Times New Roman" w:hAnsi="Times New Roman"/>
                <w:sz w:val="17"/>
                <w:szCs w:val="17"/>
                <w:color w:val="0000FF"/>
              </w:rPr>
              <w:t>06/16/2026</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71,288</w:t>
            </w:r>
            <w:r>
              <w:rPr>
                <w:rFonts w:ascii="Times New Roman" w:cs="Times New Roman" w:eastAsia="Times New Roman" w:hAnsi="Times New Roman"/>
                <w:sz w:val="21"/>
                <w:szCs w:val="21"/>
                <w:color w:val="008000"/>
                <w:vertAlign w:val="superscript"/>
              </w:rPr>
              <w:t>(3)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6.8203</w:t>
            </w:r>
            <w:r>
              <w:rPr>
                <w:rFonts w:ascii="Times New Roman" w:cs="Times New Roman" w:eastAsia="Times New Roman" w:hAnsi="Times New Roman"/>
                <w:sz w:val="21"/>
                <w:szCs w:val="21"/>
                <w:color w:val="008000"/>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564,700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00" w:type="dxa"/>
            <w:vAlign w:val="bottom"/>
            <w:gridSpan w:val="14"/>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 of</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Acquired (A)</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150,000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06/16/2026</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gridSpan w:val="3"/>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20" w:type="dxa"/>
            <w:vAlign w:val="bottom"/>
            <w:gridSpan w:val="2"/>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150,000</w:t>
            </w: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7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Class A ordinary shares are held through American Depositary Shares ("ADS") of the issuer. Each ADS represents two Class A ordinary shares.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acquired in the form of ADS upon the vesting of restricted share units ("RSU") on June 16, 2026.</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a "sell-to-cover" transaction to cover tax withholding obligations in connection with the vesting and settlement of the RSUs.</w:t>
      </w:r>
    </w:p>
    <w:p>
      <w:pPr>
        <w:spacing w:after="0" w:line="42" w:lineRule="exact"/>
        <w:rPr>
          <w:rFonts w:ascii="Times New Roman" w:cs="Times New Roman" w:eastAsia="Times New Roman" w:hAnsi="Times New Roman"/>
          <w:sz w:val="13"/>
          <w:szCs w:val="13"/>
          <w:color w:val="008000"/>
        </w:rPr>
      </w:pPr>
    </w:p>
    <w:p>
      <w:pPr>
        <w:ind w:left="40" w:right="5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The shares were sold at prices ranging from $6.805 to $6.855. The Reporting Person will provide upon request, to the Securities and Exchange Commission (the "SEC"), the Issuer or security holder of the Issuer, full information regarding the number of shares sold at each separate price.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Class A ordinary share at settlement.</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16,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w w:val="94"/>
              </w:rPr>
              <w:t>/s/ Xiehua Wang</w:t>
            </w:r>
          </w:p>
        </w:tc>
        <w:tc>
          <w:tcPr>
            <w:tcW w:w="9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06/17/2026</w:t>
            </w:r>
          </w:p>
        </w:tc>
      </w:tr>
      <w:tr>
        <w:trPr>
          <w:trHeight w:val="20"/>
        </w:trPr>
        <w:tc>
          <w:tcPr>
            <w:tcW w:w="1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9926" TargetMode="External"/><Relationship Id="rId14" Type="http://schemas.openxmlformats.org/officeDocument/2006/relationships/hyperlink" Target="http://www.sec.gov/cgi-bin/browse-edgar?action=getcompany&amp;CIK=0001842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2026-06-17T15:02:59Z</dcterms:created>
  <dcterms:modified xsi:type="dcterms:W3CDTF">2026-06-17T15:02:59Z</dcterms:modified>
</cp:coreProperties>
</file>