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242570</wp:posOffset>
            </wp:positionV>
            <wp:extent cx="7174865" cy="12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266065</wp:posOffset>
            </wp:positionV>
            <wp:extent cx="7174865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SECURITIES AND EXCHANGE COMMISSION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WASHINGTON, D.C. 20549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FORM 6-K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REPORT OF FOREIGN PRIVATE ISSUER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PURSUANT TO RULE 13a-16 OR 15d-16 UNDER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THE SECURITIES EXCHANGE ACT OF 1934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4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For the month of May 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109220</wp:posOffset>
            </wp:positionV>
            <wp:extent cx="1789430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Commission File Number: 001-40460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109220</wp:posOffset>
            </wp:positionV>
            <wp:extent cx="1789430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KANZHUN LIMITED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21/F, GrandyVic Building,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Taiyanggong Middle Road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Chaoyang District, Beijing 100028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People’s Republic of China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(Address of principal executive offices)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4920"/>
        <w:spacing w:after="0" w:line="138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Form 20-F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   Form 40-F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126365</wp:posOffset>
            </wp:positionV>
            <wp:extent cx="7174865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144145</wp:posOffset>
            </wp:positionV>
            <wp:extent cx="7174865" cy="120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451485</wp:posOffset>
            </wp:positionV>
            <wp:extent cx="7174865" cy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580" w:right="1440" w:bottom="144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Exhibit Index</w:t>
            </w:r>
          </w:p>
        </w:tc>
      </w:tr>
      <w:tr>
        <w:trPr>
          <w:trHeight w:val="304"/>
        </w:trPr>
        <w:tc>
          <w:tcPr>
            <w:tcW w:w="13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 No.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20" w:type="dxa"/>
            <w:vAlign w:val="bottom"/>
            <w:tcBorders>
              <w:bottom w:val="single" w:sz="8" w:color="auto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Description</w:t>
            </w:r>
          </w:p>
        </w:tc>
      </w:tr>
      <w:tr>
        <w:trPr>
          <w:trHeight w:val="121"/>
        </w:trPr>
        <w:tc>
          <w:tcPr>
            <w:tcW w:w="1360" w:type="dxa"/>
            <w:vAlign w:val="bottom"/>
            <w:gridSpan w:val="3"/>
          </w:tcPr>
          <w:p>
            <w:pPr>
              <w:jc w:val="center"/>
              <w:ind w:right="5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720" w:type="dxa"/>
            <w:vAlign w:val="bottom"/>
            <w:gridSpan w:val="4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Return, dated May 28, 2026</w:t>
            </w:r>
          </w:p>
        </w:tc>
      </w:tr>
      <w:tr>
        <w:trPr>
          <w:trHeight w:val="473"/>
        </w:trPr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300"/>
          </w:cols>
          <w:pgMar w:left="300" w:top="680" w:right="29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SIGNATURES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KANZHUN LIMITED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By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/s/ Peng Zhao</w:t>
            </w:r>
          </w:p>
        </w:tc>
      </w:tr>
      <w:tr>
        <w:trPr>
          <w:trHeight w:val="126"/>
        </w:trPr>
        <w:tc>
          <w:tcPr>
            <w:tcW w:w="44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Name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38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74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Peng Zhao</w:t>
            </w:r>
          </w:p>
        </w:tc>
      </w:tr>
      <w:tr>
        <w:trPr>
          <w:trHeight w:val="160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Director and Chief Executive Officer</w:t>
            </w:r>
          </w:p>
        </w:tc>
      </w:tr>
    </w:tbl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Date: May 28,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310515</wp:posOffset>
            </wp:positionV>
            <wp:extent cx="7174865" cy="5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300" w:top="664" w:right="299" w:bottom="1440" w:gutter="0" w:footer="0" w:header="0"/>
        </w:sectPr>
      </w:pPr>
    </w:p>
    <w:bookmarkStart w:id="3" w:name="page4"/>
    <w:bookmarkEnd w:id="3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16510</wp:posOffset>
            </wp:positionV>
            <wp:extent cx="6897370" cy="513143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31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2026-05-28T06:42:27Z</dcterms:created>
  <dcterms:modified xsi:type="dcterms:W3CDTF">2026-05-28T06:42:27Z</dcterms:modified>
</cp:coreProperties>
</file>