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242570</wp:posOffset>
            </wp:positionV>
            <wp:extent cx="7174865" cy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266065</wp:posOffset>
            </wp:positionV>
            <wp:extent cx="717486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SECURITIES AND EXCHANGE COMMISSION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WASHINGTON, D.C. 20549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FORM 6-K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PURSUANT TO RULE 13a-16 OR 15d-16 UNDER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THE SECURITIES EXCHANGE ACT OF 1934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4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 the month of July 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3043555</wp:posOffset>
            </wp:positionH>
            <wp:positionV relativeFrom="paragraph">
              <wp:posOffset>133350</wp:posOffset>
            </wp:positionV>
            <wp:extent cx="1080770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77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Commission File Number: 001-40460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3043555</wp:posOffset>
            </wp:positionH>
            <wp:positionV relativeFrom="paragraph">
              <wp:posOffset>133350</wp:posOffset>
            </wp:positionV>
            <wp:extent cx="1080770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77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KANZHUN LIMITED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21/F, GrandyVic Building,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Taiyanggong Middle Road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Chaoyang District, Beijing 100028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People’s Republic of China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(Address of principal executive offices)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4900"/>
        <w:spacing w:after="0" w:line="138" w:lineRule="exact"/>
        <w:tabs>
          <w:tab w:leader="none" w:pos="5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20-F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ab/>
        <w:t xml:space="preserve">Form 40-F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126365</wp:posOffset>
            </wp:positionV>
            <wp:extent cx="7174865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144145</wp:posOffset>
            </wp:positionV>
            <wp:extent cx="7174865" cy="120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451485</wp:posOffset>
            </wp:positionV>
            <wp:extent cx="7174865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580" w:right="1440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Exhibit Index</w:t>
            </w:r>
          </w:p>
        </w:tc>
      </w:tr>
      <w:tr>
        <w:trPr>
          <w:trHeight w:val="20"/>
        </w:trPr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1240" w:type="dxa"/>
            <w:vAlign w:val="bottom"/>
            <w:gridSpan w:val="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No.</w:t>
            </w: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121"/>
        </w:trPr>
        <w:tc>
          <w:tcPr>
            <w:tcW w:w="1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center"/>
              <w:ind w:right="4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6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Return, dated July 1, 2026</w:t>
            </w:r>
          </w:p>
        </w:tc>
      </w:tr>
      <w:tr>
        <w:trPr>
          <w:trHeight w:val="473"/>
        </w:trPr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300"/>
          </w:cols>
          <w:pgMar w:left="300" w:top="662" w:right="2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SIGNATURES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KANZHUN LIMITED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Peng Zhao</w:t>
            </w:r>
          </w:p>
        </w:tc>
      </w:tr>
      <w:tr>
        <w:trPr>
          <w:trHeight w:val="126"/>
        </w:trPr>
        <w:tc>
          <w:tcPr>
            <w:tcW w:w="44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86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Peng Zhao</w:t>
            </w:r>
          </w:p>
        </w:tc>
      </w:tr>
      <w:tr>
        <w:trPr>
          <w:trHeight w:val="160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5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   Director and Chief Executive Officer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July 1,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310515</wp:posOffset>
            </wp:positionV>
            <wp:extent cx="7174865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3" w:name="page4"/>
    <w:bookmarkEnd w:id="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34290</wp:posOffset>
            </wp:positionV>
            <wp:extent cx="6897370" cy="51200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2026-07-01T06:28:02Z</dcterms:created>
  <dcterms:modified xsi:type="dcterms:W3CDTF">2026-07-01T06:28:02Z</dcterms:modified>
</cp:coreProperties>
</file>